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hint="eastAsia" w:ascii="仿宋" w:hAnsi="仿宋" w:eastAsia="仿宋" w:cs="仿宋"/>
          <w:color w:val="auto"/>
          <w:sz w:val="20"/>
          <w:szCs w:val="20"/>
          <w:highlight w:val="none"/>
        </w:rPr>
      </w:pPr>
      <w:r/>
      <w:bookmarkStart w:id="0" w:name="EBecaa0fa8a3034511a17880192c07d5d6"/>
      <w:r/>
      <w:bookmarkEnd w:id="0"/>
      <w:r/>
      <w:bookmarkStart w:id="1" w:name="EB9794f1daad274a9b85f307e8b60057cd"/>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bookmarkEnd w:id="1"/>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shd w:val="clear" w:color="auto"/>
        <w:rPr>
          <w:rFonts w:hint="eastAsia" w:ascii="仿宋" w:hAnsi="仿宋" w:eastAsia="仿宋" w:cs="仿宋"/>
          <w:b/>
          <w:color w:val="auto"/>
          <w:sz w:val="84"/>
          <w:highlight w:val="none"/>
        </w:rPr>
      </w:pPr>
      <w:r>
        <w:rPr>
          <w:rFonts w:hint="eastAsia" w:ascii="仿宋" w:hAnsi="仿宋" w:eastAsia="仿宋" w:cs="仿宋"/>
          <w:b/>
          <w:color w:val="auto"/>
          <w:sz w:val="84"/>
          <w:highlight w:val="none"/>
        </w:rPr>
        <w:t xml:space="preserve">磋   商  文   件</w:t>
      </w:r>
      <w:r/>
    </w:p>
    <w:p>
      <w:pPr>
        <w:spacing w:line="360" w:lineRule="auto"/>
        <w:shd w:val="clear" w:color="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shd w:val="clear" w:color="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项目编号：</w:t>
      </w:r>
      <w:r>
        <w:rPr>
          <w:rFonts w:hint="eastAsia" w:ascii="仿宋" w:hAnsi="仿宋" w:eastAsia="仿宋" w:cs="仿宋"/>
          <w:b/>
          <w:color w:val="auto"/>
          <w:sz w:val="36"/>
          <w:highlight w:val="none"/>
          <w:lang w:eastAsia="zh-CN"/>
        </w:rPr>
        <w:t xml:space="preserve">JSZC-321192-CSDL-C2026-0018</w:t>
      </w:r>
      <w:r/>
    </w:p>
    <w:p>
      <w:pPr>
        <w:spacing w:line="360" w:lineRule="auto"/>
        <w:shd w:val="clear" w:color="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shd w:val="clear" w:color="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shd w:val="clear" w:color="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2026年度镇江市姚桥镇有机质提升行动项目（社会化服务）</w:t>
      </w:r>
      <w:r/>
    </w:p>
    <w:p>
      <w:pPr>
        <w:ind w:left="630" w:right="630"/>
        <w:jc w:val="center"/>
        <w:spacing w:line="360" w:lineRule="auto"/>
        <w:shd w:val="clear" w:color="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shd w:val="clear" w:color="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630" w:right="630"/>
        <w:jc w:val="center"/>
        <w:spacing w:line="360" w:lineRule="auto"/>
        <w:shd w:val="clear" w:color="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both"/>
        <w:spacing w:line="360" w:lineRule="auto"/>
        <w:shd w:val="clear" w:color="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shd w:val="clear" w:color="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shd w:val="clear" w:color="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江苏初始建设项目管理有限公司</w:t>
      </w:r>
      <w:r/>
    </w:p>
    <w:p>
      <w:pPr>
        <w:jc w:val="center"/>
        <w:spacing w:line="360" w:lineRule="auto"/>
        <w:shd w:val="clear" w:color="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360" w:lineRule="auto"/>
        <w:shd w:val="clear" w:color="auto"/>
        <w:rPr>
          <w:rFonts w:hint="eastAsia" w:ascii="仿宋" w:hAnsi="仿宋" w:eastAsia="仿宋" w:cs="仿宋"/>
          <w:b/>
          <w:color w:val="auto"/>
          <w:sz w:val="36"/>
          <w:szCs w:val="36"/>
          <w:highlight w:val="none"/>
        </w:rPr>
      </w:pPr>
      <w:r/>
      <w:bookmarkStart w:id="2" w:name="EBe098a072a19f453e8556e008bace2ce7"/>
      <w:r>
        <w:rPr>
          <w:rFonts w:hint="eastAsia" w:ascii="仿宋" w:hAnsi="仿宋" w:eastAsia="仿宋" w:cs="仿宋"/>
          <w:b/>
          <w:color w:val="auto"/>
          <w:sz w:val="36"/>
          <w:szCs w:val="36"/>
          <w:highlight w:val="none"/>
        </w:rPr>
        <w:t xml:space="preserve">202</w:t>
      </w:r>
      <w:bookmarkEnd w:id="2"/>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10</w:t>
      </w:r>
      <w:r>
        <w:rPr>
          <w:rFonts w:hint="eastAsia" w:ascii="仿宋" w:hAnsi="仿宋" w:eastAsia="仿宋" w:cs="仿宋"/>
          <w:b/>
          <w:color w:val="auto"/>
          <w:sz w:val="36"/>
          <w:szCs w:val="36"/>
          <w:highlight w:val="none"/>
        </w:rPr>
        <w:t xml:space="preserve">月</w:t>
      </w:r>
      <w:bookmarkStart w:id="3" w:name="EB3b9a7b39d96b4fa5a1ca6e66d21db5c3"/>
      <w:r/>
      <w:bookmarkEnd w:id="3"/>
      <w:r>
        <w:rPr>
          <w:rFonts w:hint="eastAsia" w:ascii="仿宋" w:hAnsi="仿宋" w:eastAsia="仿宋" w:cs="仿宋"/>
          <w:b/>
          <w:color w:val="auto"/>
          <w:sz w:val="36"/>
          <w:szCs w:val="36"/>
          <w:highlight w:val="none"/>
          <w:lang w:val="en-US" w:eastAsia="zh-CN"/>
        </w:rPr>
        <w:t xml:space="preserve">19</w:t>
      </w:r>
      <w:r>
        <w:rPr>
          <w:rFonts w:hint="eastAsia" w:ascii="仿宋" w:hAnsi="仿宋" w:eastAsia="仿宋" w:cs="仿宋"/>
          <w:b/>
          <w:color w:val="auto"/>
          <w:sz w:val="36"/>
          <w:szCs w:val="36"/>
          <w:highlight w:val="none"/>
        </w:rPr>
        <w:t xml:space="preserve">日</w:t>
      </w:r>
      <w:r/>
    </w:p>
    <w:p>
      <w:pPr>
        <w:jc w:val="center"/>
        <w:pageBreakBefore/>
        <w:spacing w:line="360" w:lineRule="auto"/>
        <w:shd w:val="clear" w:color="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磋商文件目录</w:t>
      </w:r>
      <w:r/>
    </w:p>
    <w:p>
      <w:pPr>
        <w:pStyle w:val="723"/>
        <w:shd w:val="clear" w:color="auto"/>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b w:val="0"/>
          <w:bCs w:val="0"/>
          <w:caps w:val="0"/>
          <w:color w:val="auto"/>
          <w:highlight w:val="none"/>
        </w:rPr>
        <w:fldChar w:fldCharType="begin"/>
      </w:r>
      <w:r>
        <w:rPr>
          <w:rFonts w:hint="eastAsia" w:ascii="仿宋" w:hAnsi="仿宋" w:eastAsia="仿宋" w:cs="仿宋"/>
          <w:b w:val="0"/>
          <w:bCs w:val="0"/>
          <w:caps w:val="0"/>
          <w:color w:val="auto"/>
          <w:highlight w:val="none"/>
        </w:rPr>
        <w:instrText xml:space="preserve"> TOC \o "1-3" \h \z \u </w:instrText>
      </w:r>
      <w:r>
        <w:rPr>
          <w:rFonts w:hint="eastAsia" w:ascii="仿宋" w:hAnsi="仿宋" w:eastAsia="仿宋" w:cs="仿宋"/>
          <w:b w:val="0"/>
          <w:bCs w:val="0"/>
          <w:caps w:val="0"/>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"_Toc142925610" \o "#_Toc142925610"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第一部分磋商邀请</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"_Toc142925611" \o "#_Toc142925611"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一、项目基本情况</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"_Toc142925612" \o "#_Toc142925612"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二、申请人的资格要求：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"_Toc142925613" \o "#_Toc142925613"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三、获取磋商文件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5</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"_Toc142925614" \o "#_Toc142925614"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四、首次响应文件提交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"_Toc142925615" \o "#_Toc142925615"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五、开启</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_Toc142925615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"_Toc142925616" \o "#_Toc142925616"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六、公告期限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"_Toc142925617" \o "#_Toc142925617"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七、其他补充事宜</w:t>
      </w:r>
      <w:r>
        <w:rPr>
          <w:rFonts w:hint="eastAsia" w:ascii="仿宋" w:hAnsi="仿宋" w:eastAsia="仿宋" w:cs="仿宋"/>
          <w:color w:val="auto"/>
          <w:highlight w:val="none"/>
        </w:rPr>
        <w:tab/>
      </w:r>
      <w:r>
        <w:rPr>
          <w:rFonts w:hint="eastAsia" w:ascii="仿宋" w:hAnsi="仿宋" w:eastAsia="仿宋" w:cs="仿宋"/>
          <w:color w:val="auto"/>
          <w:highlight w:val="none"/>
        </w:rPr>
        <w:t xml:space="preserve">7</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"_Toc142925618" \o "#_Toc142925618"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八、对本次磋商提出询问，请按以下方式联系。</w:t>
      </w:r>
      <w:r>
        <w:rPr>
          <w:rFonts w:hint="eastAsia" w:ascii="仿宋" w:hAnsi="仿宋" w:eastAsia="仿宋" w:cs="仿宋"/>
          <w:color w:val="auto"/>
          <w:highlight w:val="none"/>
        </w:rPr>
        <w:tab/>
      </w:r>
      <w:r>
        <w:rPr>
          <w:rFonts w:hint="eastAsia" w:ascii="仿宋" w:hAnsi="仿宋" w:eastAsia="仿宋" w:cs="仿宋"/>
          <w:color w:val="auto"/>
          <w:highlight w:val="none"/>
        </w:rPr>
        <w:t xml:space="preserve">8</w:t>
      </w:r>
      <w:r>
        <w:rPr>
          <w:rFonts w:hint="eastAsia" w:ascii="仿宋" w:hAnsi="仿宋" w:eastAsia="仿宋" w:cs="仿宋"/>
          <w:color w:val="auto"/>
          <w:highlight w:val="none"/>
        </w:rPr>
        <w:fldChar w:fldCharType="end"/>
      </w:r>
      <w:r/>
    </w:p>
    <w:p>
      <w:pPr>
        <w:pStyle w:val="723"/>
        <w:shd w:val="clear" w:color="auto"/>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"_Toc142925619" \o "#_Toc142925619"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第二部分供应商须知</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"_Toc142925620" \o "#_Toc142925620"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一、总则</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"_Toc142925621" \o "#_Toc142925621"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1．适用范围</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"_Toc142925622" \o "#_Toc142925622"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2．定义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"_Toc142925623" \o "#_Toc142925623"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3．本次采购方式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"_Toc142925624" \o "#_Toc142925624"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4．磋商费用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9</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"_Toc142925625" \o "#_Toc142925625"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5．政策功能</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10</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"_Toc142925626" \o "#_Toc142925626"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二、磋商文件</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"_Toc142925627" \o "#_Toc142925627"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6．磋商文件组成</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"_Toc142925628" \o "#_Toc142925628"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7．磋商文件的澄清和修改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11</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"_Toc142925629" \o "#_Toc142925629"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三、磋商响应文件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_Toc142925629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"_Toc142925630" \o "#_Toc142925630"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8．编制响应文件的工具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"_Toc142925631" \o "#_Toc142925631"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9．响应文件语言及度量衡单位</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"_Toc142925632" \o "#_Toc142925632"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10．响应文件的构成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2</w:t>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"_Toc142925633" \o "#_Toc142925633"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11．响应文件的编写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"_Toc142925634" \o "#_Toc142925634"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12．响应报价</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"_Toc142925635" \o "#_Toc142925635"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13．磋商保证金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"_Toc142925636" \o "#_Toc142925636"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14．磋商响应有效期</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"_Toc142925637" \o "#_Toc142925637"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15. 响应文件的式样和签署</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"_Toc142925638" \o "#_Toc142925638"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16．响应文件的提交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"_Toc142925639" \o "#_Toc142925639"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17．响应文件的补充、修改或者撤回</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_Toc142925639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"_Toc142925640" \o "#_Toc142925640"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四、磋商与评审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"_Toc142925641" \o "#_Toc142925641"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18．磋商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"_Toc142925642" \o "#_Toc142925642"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19．磋商小组组成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"_Toc142925643" \o "#_Toc142925643"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20．无效磋商的情形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"_Toc142925644" \o "#_Toc142925644"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21．串通磋商的情形</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"_Toc142925645" \o "#_Toc142925645"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22．响应文件的澄清</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"_Toc142925646" \o "#_Toc142925646"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23．磋商内容</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"_Toc142925647" \o "#_Toc142925647"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24．最后报价的提交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"_Toc142925648" \o "#_Toc142925648"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25．竞争性磋商特殊情况处理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"_Toc142925649" \o "#_Toc142925649"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五、确定成交结果</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"_Toc142925650" \o "#_Toc142925650"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26．确定成交供应商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"_Toc142925651" \o "#_Toc142925651"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六、授予合同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"_Toc142925652" \o "#_Toc142925652"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27．磋商组织方接受和拒绝任何或所有响应的权利</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"_Toc142925653" \o "#_Toc142925653"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28．成交通知书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"_Toc142925654" \o "#_Toc142925654"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29．签订合同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"_Toc142925655" \o "#_Toc142925655"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30．履约保证金</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"_Toc142925656" \o "#_Toc142925656"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七、询问、质疑、投诉</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"_Toc142925657" \o "#_Toc142925657"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31．询问</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_Toc142925657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"_Toc142925658" \o "#_Toc142925658"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32．质疑</w:t>
      </w:r>
      <w:r>
        <w:rPr>
          <w:rFonts w:hint="eastAsia" w:ascii="仿宋" w:hAnsi="仿宋" w:eastAsia="仿宋" w:cs="仿宋"/>
          <w:color w:val="auto"/>
          <w:highlight w:val="none"/>
        </w:rPr>
        <w:tab/>
      </w:r>
      <w:r>
        <w:rPr>
          <w:rFonts w:hint="eastAsia" w:ascii="仿宋" w:hAnsi="仿宋" w:eastAsia="仿宋" w:cs="仿宋"/>
          <w:color w:val="auto"/>
          <w:highlight w:val="none"/>
        </w:rPr>
        <w:t xml:space="preserve">19</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"_Toc142925659" \o "#_Toc142925659"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33．投诉</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"_Toc142925660" \o "#_Toc142925660"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八、诚实信用和解释权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"_Toc142925661" \o "#_Toc142925661"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34．诚实信用</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20</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"_Toc142925662" \o "#_Toc142925662"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35．解释权</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15"/>
        <w:shd w:val="clear" w:color="auto"/>
        <w:tabs>
          <w:tab w:val="right" w:pos="9356" w:leader="dot"/>
        </w:tabs>
        <w:rPr>
          <w:rFonts w:hint="eastAsia" w:ascii="仿宋" w:hAnsi="仿宋" w:eastAsia="仿宋" w:cs="仿宋"/>
          <w:iCs w:val="0"/>
          <w:color w:val="auto"/>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"_Toc142925663" \o "#_Toc142925663"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36．适用法律及约束力</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"_Toc142925664" \o "#_Toc142925664"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九、苏采云操作其他补充事项</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"_Toc142925665" \o "#_Toc142925665" </w:instrText>
      </w:r>
      <w:r>
        <w:rPr>
          <w:rFonts w:hint="eastAsia" w:ascii="仿宋" w:hAnsi="仿宋" w:eastAsia="仿宋" w:cs="仿宋"/>
          <w:color w:val="auto"/>
          <w:highlight w:val="none"/>
        </w:rPr>
        <w:fldChar w:fldCharType="separate"/>
      </w:r>
      <w:r>
        <w:rPr>
          <w:rStyle w:val="741"/>
          <w:rFonts w:hint="eastAsia" w:ascii="仿宋" w:hAnsi="仿宋" w:eastAsia="仿宋" w:cs="仿宋"/>
          <w:b/>
          <w:bCs/>
          <w:color w:val="auto"/>
          <w:highlight w:val="none"/>
        </w:rPr>
        <w:t xml:space="preserve">37.苏采云系统要求</w:t>
      </w:r>
      <w:r>
        <w:rPr>
          <w:rFonts w:hint="eastAsia" w:ascii="仿宋" w:hAnsi="仿宋" w:eastAsia="仿宋" w:cs="仿宋"/>
          <w:color w:val="auto"/>
          <w:highlight w:val="none"/>
        </w:rPr>
        <w:tab/>
      </w:r>
      <w:r>
        <w:rPr>
          <w:rFonts w:hint="eastAsia" w:ascii="仿宋" w:hAnsi="仿宋" w:eastAsia="仿宋" w:cs="仿宋"/>
          <w:color w:val="auto"/>
          <w:highlight w:val="none"/>
        </w:rPr>
        <w:t xml:space="preserve">21</w:t>
      </w:r>
      <w:r>
        <w:rPr>
          <w:rFonts w:hint="eastAsia" w:ascii="仿宋" w:hAnsi="仿宋" w:eastAsia="仿宋" w:cs="仿宋"/>
          <w:color w:val="auto"/>
          <w:highlight w:val="none"/>
        </w:rPr>
        <w:fldChar w:fldCharType="end"/>
      </w:r>
      <w:r/>
    </w:p>
    <w:p>
      <w:pPr>
        <w:pStyle w:val="723"/>
        <w:shd w:val="clear" w:color="auto"/>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"_Toc142925666" \o "#_Toc142925666"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第三部分合同</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23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23"/>
        <w:shd w:val="clear" w:color="auto"/>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"_Toc142925667" \o "#_Toc142925667"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第四部分采购需求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23"/>
        <w:shd w:val="clear" w:color="auto"/>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"_Toc142925668" \o "#_Toc142925668"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第五部分磋商及评审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"_Toc142925669" \o "#_Toc142925669"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1．磋商小组职责</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_Toc142925669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"_Toc142925670" \o "#_Toc142925670"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2．磋商及评审程序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"_Toc142925671" \o "#_Toc142925671"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3．供应商资格审查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"_Toc142925672" \o "#_Toc142925672"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4．磋商响应文件的有效性、完整性和响应程度审查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"_Toc142925673" \o "#_Toc142925673"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5．磋商记录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"_Toc142925674" \o "#_Toc142925674"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6．综合评分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_Toc142925674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r/>
    </w:p>
    <w:p>
      <w:pPr>
        <w:pStyle w:val="730"/>
        <w:ind w:left="420"/>
        <w:shd w:val="clear" w:color="auto"/>
        <w:tabs>
          <w:tab w:val="right" w:pos="9356"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"_Toc142925675" \o "#_Toc142925675"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7．推荐成交供应商</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41</w:t>
      </w:r>
      <w:r>
        <w:rPr>
          <w:rFonts w:hint="eastAsia" w:ascii="仿宋" w:hAnsi="仿宋" w:eastAsia="仿宋" w:cs="仿宋"/>
          <w:color w:val="auto"/>
          <w:highlight w:val="none"/>
        </w:rPr>
        <w:fldChar w:fldCharType="end"/>
      </w:r>
      <w:r/>
    </w:p>
    <w:p>
      <w:pPr>
        <w:pStyle w:val="723"/>
        <w:shd w:val="clear" w:color="auto"/>
        <w:tabs>
          <w:tab w:val="right" w:pos="9356" w:leader="dot"/>
        </w:tabs>
        <w:rPr>
          <w:rFonts w:hint="eastAsia" w:ascii="仿宋" w:hAnsi="仿宋" w:eastAsia="仿宋" w:cs="仿宋"/>
          <w:b w:val="0"/>
          <w:bCs w:val="0"/>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"_Toc142925676" \o "#_Toc142925676" </w:instrText>
      </w:r>
      <w:r>
        <w:rPr>
          <w:rFonts w:hint="eastAsia" w:ascii="仿宋" w:hAnsi="仿宋" w:eastAsia="仿宋" w:cs="仿宋"/>
          <w:color w:val="auto"/>
          <w:highlight w:val="none"/>
        </w:rPr>
        <w:fldChar w:fldCharType="separate"/>
      </w:r>
      <w:r>
        <w:rPr>
          <w:rStyle w:val="741"/>
          <w:rFonts w:hint="eastAsia" w:ascii="仿宋" w:hAnsi="仿宋" w:eastAsia="仿宋" w:cs="仿宋"/>
          <w:color w:val="auto"/>
          <w:highlight w:val="none"/>
        </w:rPr>
        <w:t xml:space="preserve">第六部分磋商响应文件（格式）</w:t>
      </w:r>
      <w:r>
        <w:rPr>
          <w:rFonts w:hint="eastAsia" w:ascii="仿宋" w:hAnsi="仿宋" w:eastAsia="仿宋" w:cs="仿宋"/>
          <w:color w:val="auto"/>
          <w:highlight w:val="none"/>
        </w:rPr>
        <w:tab/>
      </w:r>
      <w:r>
        <w:rPr>
          <w:rFonts w:hint="eastAsia" w:ascii="仿宋" w:hAnsi="仿宋" w:eastAsia="仿宋" w:cs="仿宋"/>
          <w:color w:val="auto"/>
          <w:highlight w:val="none"/>
        </w:rPr>
        <w:t xml:space="preserve">43</w:t>
      </w:r>
      <w:r>
        <w:rPr>
          <w:rFonts w:hint="eastAsia" w:ascii="仿宋" w:hAnsi="仿宋" w:eastAsia="仿宋" w:cs="仿宋"/>
          <w:color w:val="auto"/>
          <w:highlight w:val="none"/>
        </w:rPr>
        <w:fldChar w:fldCharType="end"/>
      </w:r>
      <w:r/>
    </w:p>
    <w:p>
      <w:pPr>
        <w:shd w:val="clear" w:color="auto"/>
        <w:rPr>
          <w:rFonts w:hint="eastAsia" w:ascii="仿宋" w:hAnsi="仿宋" w:eastAsia="仿宋" w:cs="仿宋"/>
          <w:color w:val="auto"/>
          <w:highlight w:val="none"/>
        </w:rPr>
      </w:pPr>
      <w:r>
        <w:rPr>
          <w:rFonts w:hint="eastAsia" w:ascii="仿宋" w:hAnsi="仿宋" w:eastAsia="仿宋" w:cs="仿宋"/>
          <w:b/>
          <w:bCs/>
          <w:caps/>
          <w:color w:val="auto"/>
          <w:sz w:val="44"/>
          <w:szCs w:val="44"/>
          <w:highlight w:val="none"/>
        </w:rPr>
        <w:fldChar w:fldCharType="end"/>
      </w:r>
      <w:r>
        <w:rPr>
          <w:rFonts w:hint="eastAsia" w:ascii="仿宋" w:hAnsi="仿宋" w:eastAsia="仿宋" w:cs="仿宋"/>
          <w:color w:val="auto"/>
          <w:highlight w:val="none"/>
        </w:rPr>
        <w:br w:type="page" w:clear="all"/>
      </w:r>
      <w:r/>
    </w:p>
    <w:p>
      <w:pPr>
        <w:pStyle w:val="774"/>
        <w:jc w:val="center"/>
        <w:spacing w:before="0" w:after="0" w:line="360" w:lineRule="auto"/>
        <w:shd w:val="clear" w:color="auto"/>
        <w:rPr>
          <w:rFonts w:hint="eastAsia" w:ascii="仿宋" w:hAnsi="仿宋" w:eastAsia="仿宋" w:cs="仿宋"/>
          <w:color w:val="auto"/>
          <w:sz w:val="36"/>
          <w:highlight w:val="none"/>
        </w:rPr>
      </w:pPr>
      <w:r/>
      <w:bookmarkStart w:id="4" w:name="_Toc73364843"/>
      <w:r/>
      <w:bookmarkStart w:id="5" w:name="_Toc73365456"/>
      <w:r/>
      <w:bookmarkStart w:id="6" w:name="_Toc142925610"/>
      <w:r>
        <w:rPr>
          <w:rFonts w:hint="eastAsia" w:ascii="仿宋" w:hAnsi="仿宋" w:eastAsia="仿宋" w:cs="仿宋"/>
          <w:color w:val="auto"/>
          <w:sz w:val="36"/>
          <w:highlight w:val="none"/>
        </w:rPr>
        <w:t xml:space="preserve">第一部分  磋商邀请</w:t>
      </w:r>
      <w:bookmarkEnd w:id="4"/>
      <w:r/>
      <w:bookmarkEnd w:id="5"/>
      <w:r/>
      <w:bookmarkEnd w:id="6"/>
      <w:r/>
      <w:bookmarkStart w:id="7" w:name="EB90a90c36211a4db3a2108a4f75c8af65"/>
      <w:r/>
      <w:bookmarkEnd w:id="7"/>
      <w:r/>
      <w:bookmarkStart w:id="8" w:name="EBb19c9a8f63314b7a8160b48722b227e9"/>
      <w:r/>
      <w:bookmarkEnd w:id="8"/>
      <w:r/>
      <w:r/>
    </w:p>
    <w:p>
      <w:pPr>
        <w:ind w:firstLine="480"/>
        <w:spacing w:line="360" w:lineRule="auto"/>
        <w:shd w:val="clear" w:color="auto"/>
        <w:rPr>
          <w:rFonts w:hint="eastAsia" w:ascii="仿宋" w:hAnsi="仿宋" w:eastAsia="仿宋" w:cs="仿宋"/>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rPr>
        <w:t xml:space="preserve">项目概况</w:t>
      </w:r>
      <w:r/>
    </w:p>
    <w:p>
      <w:pPr>
        <w:ind w:firstLine="480"/>
        <w:spacing w:line="360" w:lineRule="auto"/>
        <w:shd w:val="clear" w:color="auto"/>
        <w:rPr>
          <w:rFonts w:hint="eastAsia" w:ascii="仿宋" w:hAnsi="仿宋" w:eastAsia="仿宋" w:cs="仿宋"/>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highlight w:val="none"/>
          <w:u w:val="single"/>
          <w:lang w:eastAsia="zh-CN"/>
        </w:rPr>
        <w:t xml:space="preserve">2026年度镇江市姚桥镇有机质提升行动项目（社会化服务）</w:t>
      </w:r>
      <w:r>
        <w:rPr>
          <w:rFonts w:hint="eastAsia" w:ascii="仿宋" w:hAnsi="仿宋" w:eastAsia="仿宋" w:cs="仿宋"/>
          <w:color w:val="auto"/>
          <w:sz w:val="24"/>
          <w:szCs w:val="28"/>
          <w:highlight w:val="none"/>
        </w:rPr>
        <w:t xml:space="preserve">的潜在供应商应在</w:t>
      </w:r>
      <w:r>
        <w:rPr>
          <w:rFonts w:hint="eastAsia" w:ascii="仿宋" w:hAnsi="仿宋" w:eastAsia="仿宋" w:cs="仿宋"/>
          <w:color w:val="auto"/>
          <w:sz w:val="24"/>
          <w:szCs w:val="28"/>
          <w:highlight w:val="none"/>
          <w:u w:val="single"/>
        </w:rPr>
        <w:t xml:space="preserve">苏采云平台http://jszfcg.jscz.gov.cn/jszc/login</w:t>
      </w:r>
      <w:r>
        <w:rPr>
          <w:rFonts w:hint="eastAsia" w:ascii="仿宋" w:hAnsi="仿宋" w:eastAsia="仿宋" w:cs="仿宋"/>
          <w:color w:val="auto"/>
          <w:sz w:val="24"/>
          <w:szCs w:val="28"/>
          <w:highlight w:val="none"/>
        </w:rPr>
        <w:t xml:space="preserve">获取磋商文件，并于</w:t>
      </w:r>
      <w:bookmarkStart w:id="9" w:name="EBa2e9efed1bd249f6967eff74ca5f9fe3"/>
      <w:r>
        <w:rPr>
          <w:rFonts w:hint="eastAsia" w:ascii="仿宋" w:hAnsi="仿宋" w:eastAsia="仿宋" w:cs="仿宋"/>
          <w:color w:val="auto"/>
          <w:sz w:val="24"/>
          <w:szCs w:val="28"/>
          <w:highlight w:val="none"/>
          <w:lang w:eastAsia="zh-CN"/>
        </w:rPr>
        <w:t xml:space="preserve">2026年10月30日</w:t>
      </w:r>
      <w:r>
        <w:rPr>
          <w:rFonts w:hint="eastAsia" w:ascii="仿宋" w:hAnsi="仿宋" w:eastAsia="仿宋" w:cs="仿宋"/>
          <w:color w:val="auto"/>
          <w:sz w:val="24"/>
          <w:szCs w:val="28"/>
          <w:highlight w:val="none"/>
        </w:rPr>
        <w:t xml:space="preserve"> </w:t>
      </w:r>
      <w:r>
        <w:rPr>
          <w:rFonts w:hint="eastAsia" w:ascii="仿宋" w:hAnsi="仿宋" w:eastAsia="仿宋" w:cs="仿宋"/>
          <w:color w:val="auto"/>
          <w:sz w:val="24"/>
          <w:szCs w:val="28"/>
          <w:highlight w:val="none"/>
          <w:lang w:val="en-US" w:eastAsia="zh-CN"/>
        </w:rPr>
        <w:t xml:space="preserve">9</w:t>
      </w:r>
      <w:r>
        <w:rPr>
          <w:rFonts w:hint="eastAsia" w:ascii="仿宋" w:hAnsi="仿宋" w:eastAsia="仿宋" w:cs="仿宋"/>
          <w:color w:val="auto"/>
          <w:sz w:val="24"/>
          <w:szCs w:val="28"/>
          <w:highlight w:val="none"/>
        </w:rPr>
        <w:t xml:space="preserve">:</w:t>
      </w:r>
      <w:r>
        <w:rPr>
          <w:rFonts w:hint="eastAsia" w:ascii="仿宋" w:hAnsi="仿宋" w:eastAsia="仿宋" w:cs="仿宋"/>
          <w:color w:val="auto"/>
          <w:sz w:val="24"/>
          <w:szCs w:val="28"/>
          <w:highlight w:val="none"/>
        </w:rPr>
        <w:t xml:space="preserve">00</w:t>
      </w:r>
      <w:bookmarkEnd w:id="9"/>
      <w:r>
        <w:rPr>
          <w:rFonts w:hint="eastAsia" w:ascii="仿宋" w:hAnsi="仿宋" w:eastAsia="仿宋" w:cs="仿宋"/>
          <w:color w:val="auto"/>
          <w:sz w:val="24"/>
          <w:szCs w:val="28"/>
          <w:highlight w:val="none"/>
        </w:rPr>
        <w:t xml:space="preserve">（</w:t>
      </w:r>
      <w:r>
        <w:rPr>
          <w:rFonts w:hint="eastAsia" w:ascii="仿宋" w:hAnsi="仿宋" w:eastAsia="仿宋" w:cs="仿宋"/>
          <w:bCs/>
          <w:color w:val="auto"/>
          <w:sz w:val="24"/>
          <w:szCs w:val="28"/>
          <w:highlight w:val="none"/>
        </w:rPr>
        <w:t xml:space="preserve">北京时间）前递交响应文件</w:t>
      </w:r>
      <w:r>
        <w:rPr>
          <w:rFonts w:hint="eastAsia" w:ascii="仿宋" w:hAnsi="仿宋" w:eastAsia="仿宋" w:cs="仿宋"/>
          <w:color w:val="auto"/>
          <w:sz w:val="24"/>
          <w:szCs w:val="28"/>
          <w:highlight w:val="none"/>
        </w:rPr>
        <w:t xml:space="preserve">。</w:t>
      </w:r>
      <w:r/>
    </w:p>
    <w:p>
      <w:pPr>
        <w:pStyle w:val="775"/>
        <w:jc w:val="left"/>
        <w:spacing w:before="0" w:after="0" w:line="360" w:lineRule="auto"/>
        <w:shd w:val="clear" w:color="auto"/>
        <w:rPr>
          <w:rFonts w:hint="eastAsia" w:ascii="仿宋" w:hAnsi="仿宋" w:eastAsia="仿宋" w:cs="仿宋"/>
          <w:b w:val="0"/>
          <w:color w:val="auto"/>
          <w:highlight w:val="none"/>
        </w:rPr>
      </w:pPr>
      <w:r/>
      <w:bookmarkStart w:id="10" w:name="_Toc73364844"/>
      <w:r/>
      <w:bookmarkStart w:id="11" w:name="_Toc142925611"/>
      <w:r/>
      <w:bookmarkStart w:id="12" w:name="_Toc73365457"/>
      <w:r>
        <w:rPr>
          <w:rFonts w:hint="eastAsia" w:ascii="仿宋" w:hAnsi="仿宋" w:eastAsia="仿宋" w:cs="仿宋"/>
          <w:b w:val="0"/>
          <w:color w:val="auto"/>
          <w:highlight w:val="none"/>
        </w:rPr>
        <w:t xml:space="preserve">一、项目基本情况</w:t>
      </w:r>
      <w:bookmarkEnd w:id="10"/>
      <w:r/>
      <w:bookmarkEnd w:id="11"/>
      <w:r/>
      <w:bookmarkEnd w:id="12"/>
      <w:r/>
      <w:r/>
    </w:p>
    <w:p>
      <w:pPr>
        <w:ind w:firstLine="480"/>
        <w:spacing w:line="360" w:lineRule="auto"/>
        <w:shd w:val="clear" w:color="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项目编号：</w:t>
      </w:r>
      <w:r>
        <w:rPr>
          <w:rFonts w:hint="eastAsia" w:ascii="仿宋" w:hAnsi="仿宋" w:eastAsia="仿宋" w:cs="仿宋"/>
          <w:color w:val="auto"/>
          <w:sz w:val="24"/>
          <w:szCs w:val="28"/>
          <w:highlight w:val="none"/>
          <w:lang w:eastAsia="zh-CN"/>
        </w:rPr>
        <w:t xml:space="preserve">JSZC-321192-CSDL-C2026-0018</w:t>
      </w:r>
      <w:r/>
    </w:p>
    <w:p>
      <w:pPr>
        <w:ind w:firstLine="480"/>
        <w:spacing w:line="360" w:lineRule="auto"/>
        <w:shd w:val="clear" w:color="auto"/>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szCs w:val="28"/>
          <w:highlight w:val="none"/>
        </w:rPr>
        <w:t xml:space="preserve">项目名称：</w:t>
      </w:r>
      <w:r>
        <w:rPr>
          <w:rFonts w:hint="eastAsia" w:ascii="仿宋" w:hAnsi="仿宋" w:eastAsia="仿宋" w:cs="仿宋"/>
          <w:color w:val="auto"/>
          <w:sz w:val="24"/>
          <w:szCs w:val="28"/>
          <w:highlight w:val="none"/>
          <w:lang w:eastAsia="zh-CN"/>
        </w:rPr>
        <w:t xml:space="preserve">2026年度镇江市姚桥镇有机质提升行动项目（社会化服务）</w:t>
      </w:r>
      <w:r/>
    </w:p>
    <w:p>
      <w:pPr>
        <w:ind w:firstLine="480"/>
        <w:spacing w:line="360" w:lineRule="auto"/>
        <w:shd w:val="clear" w:color="auto"/>
        <w:rPr>
          <w:rFonts w:hint="eastAsia" w:ascii="仿宋" w:hAnsi="仿宋" w:eastAsia="仿宋" w:cs="仿宋"/>
          <w:color w:val="auto"/>
          <w:sz w:val="24"/>
          <w:szCs w:val="28"/>
          <w:highlight w:val="none"/>
        </w:rPr>
      </w:pPr>
      <w:r/>
      <w:bookmarkStart w:id="13" w:name="_Toc73365458"/>
      <w:r/>
      <w:bookmarkStart w:id="14" w:name="_Toc73364845"/>
      <w:r>
        <w:rPr>
          <w:rFonts w:hint="eastAsia" w:ascii="仿宋" w:hAnsi="仿宋" w:eastAsia="仿宋" w:cs="仿宋"/>
          <w:color w:val="auto"/>
          <w:sz w:val="24"/>
          <w:szCs w:val="28"/>
          <w:highlight w:val="none"/>
        </w:rPr>
        <w:t xml:space="preserve">预算金额：</w:t>
      </w:r>
      <w:r>
        <w:rPr>
          <w:rFonts w:hint="eastAsia" w:ascii="仿宋" w:hAnsi="仿宋" w:eastAsia="仿宋" w:cs="仿宋"/>
          <w:color w:val="auto"/>
          <w:sz w:val="24"/>
          <w:szCs w:val="28"/>
          <w:highlight w:val="none"/>
          <w:lang w:val="en-US" w:eastAsia="zh-CN"/>
        </w:rPr>
        <w:t xml:space="preserve">384.46万元</w:t>
      </w:r>
      <w:r>
        <w:rPr>
          <w:rFonts w:hint="eastAsia" w:ascii="仿宋" w:hAnsi="仿宋" w:eastAsia="仿宋" w:cs="仿宋"/>
          <w:color w:val="auto"/>
          <w:sz w:val="24"/>
          <w:szCs w:val="28"/>
          <w:highlight w:val="none"/>
        </w:rPr>
        <w:t xml:space="preserve">，磋商报价超过预算金额（最高限价）的为无效报价，按照无效响应处理。</w:t>
      </w:r>
      <w:r/>
    </w:p>
    <w:p>
      <w:pPr>
        <w:ind w:firstLine="480"/>
        <w:spacing w:line="360" w:lineRule="auto"/>
        <w:shd w:val="clear" w:color="auto"/>
        <w:rPr>
          <w:rFonts w:hint="eastAsia" w:ascii="仿宋" w:hAnsi="仿宋" w:eastAsia="仿宋" w:cs="仿宋"/>
          <w:color w:val="auto"/>
          <w:highlight w:val="none"/>
        </w:rPr>
      </w:pPr>
      <w:r/>
      <w:bookmarkStart w:id="15" w:name="EB561a2394c1544fb48623feaf98445ca1"/>
      <w:r/>
      <w:bookmarkEnd w:id="15"/>
      <w:r>
        <w:rPr>
          <w:rFonts w:hint="eastAsia" w:ascii="仿宋" w:hAnsi="仿宋" w:eastAsia="仿宋" w:cs="仿宋"/>
          <w:color w:val="auto"/>
          <w:sz w:val="24"/>
          <w:szCs w:val="28"/>
          <w:highlight w:val="none"/>
        </w:rPr>
        <w:t xml:space="preserve">最高限价</w:t>
      </w:r>
      <w:bookmarkStart w:id="16" w:name="EB98c60433be4041ceb537b4bc2e24026f"/>
      <w:r>
        <w:rPr>
          <w:rFonts w:hint="eastAsia" w:ascii="仿宋" w:hAnsi="仿宋" w:eastAsia="仿宋" w:cs="仿宋"/>
          <w:color w:val="auto"/>
          <w:sz w:val="24"/>
          <w:szCs w:val="28"/>
          <w:highlight w:val="none"/>
        </w:rPr>
        <w:t xml:space="preserve">：</w:t>
      </w:r>
      <w:bookmarkStart w:id="17" w:name="_Hlk142306859"/>
      <w:r>
        <w:rPr>
          <w:rFonts w:hint="eastAsia" w:ascii="仿宋" w:hAnsi="仿宋" w:eastAsia="仿宋" w:cs="仿宋"/>
          <w:color w:val="auto"/>
          <w:sz w:val="24"/>
          <w:szCs w:val="28"/>
          <w:highlight w:val="none"/>
          <w:lang w:val="en-US" w:eastAsia="zh-CN"/>
        </w:rPr>
        <w:t xml:space="preserve">384.46万元。</w:t>
      </w:r>
      <w:bookmarkEnd w:id="16"/>
      <w:r/>
      <w:bookmarkEnd w:id="17"/>
      <w:r/>
      <w:r/>
    </w:p>
    <w:p>
      <w:pPr>
        <w:ind w:firstLine="480"/>
        <w:spacing w:line="360" w:lineRule="auto"/>
        <w:shd w:val="clear" w:color="auto"/>
        <w:rPr>
          <w:rFonts w:hint="eastAsia" w:ascii="仿宋" w:hAnsi="仿宋" w:eastAsia="仿宋" w:cs="仿宋"/>
          <w:color w:val="auto"/>
          <w:sz w:val="24"/>
          <w:szCs w:val="28"/>
          <w:highlight w:val="none"/>
        </w:rPr>
      </w:pPr>
      <w:r/>
      <w:bookmarkStart w:id="18" w:name="EB62c16b27558942fdb00f56494481e86d"/>
      <w:r/>
      <w:bookmarkEnd w:id="18"/>
      <w:r>
        <w:rPr>
          <w:rFonts w:hint="eastAsia" w:ascii="仿宋" w:hAnsi="仿宋" w:eastAsia="仿宋" w:cs="仿宋"/>
          <w:color w:val="auto"/>
          <w:sz w:val="24"/>
          <w:szCs w:val="28"/>
          <w:highlight w:val="none"/>
        </w:rPr>
        <w:t xml:space="preserve">采购需求：</w:t>
      </w:r>
      <w:bookmarkStart w:id="19" w:name="EB5d98601673ee4dabb6909c42181f9c92"/>
      <w:r>
        <w:rPr>
          <w:rFonts w:hint="eastAsia" w:ascii="仿宋" w:hAnsi="仿宋" w:eastAsia="仿宋" w:cs="仿宋"/>
          <w:color w:val="auto"/>
          <w:sz w:val="24"/>
          <w:szCs w:val="28"/>
          <w:highlight w:val="none"/>
        </w:rPr>
        <w:t xml:space="preserve">详细内容及要求见附件采购文件采购需求。</w:t>
      </w:r>
      <w:bookmarkEnd w:id="19"/>
      <w:r/>
      <w:bookmarkStart w:id="20" w:name="EBe46f2acd23264f31909e1f2cbfc9f572"/>
      <w:r/>
      <w:bookmarkEnd w:id="20"/>
      <w:r/>
      <w:bookmarkStart w:id="21" w:name="EBd7b548ce0011456a9f402dd37794dbc3"/>
      <w:r/>
      <w:bookmarkEnd w:id="21"/>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合同履行期限：</w:t>
      </w:r>
      <w:r>
        <w:rPr>
          <w:rFonts w:hint="eastAsia" w:ascii="仿宋" w:hAnsi="仿宋" w:eastAsia="仿宋" w:cs="仿宋"/>
          <w:color w:val="auto"/>
          <w:sz w:val="24"/>
          <w:szCs w:val="28"/>
          <w:highlight w:val="none"/>
          <w:lang w:val="en-US" w:eastAsia="zh-CN"/>
        </w:rPr>
        <w:t xml:space="preserve">自合同签订之日起180日历天</w:t>
      </w:r>
      <w:r>
        <w:rPr>
          <w:rFonts w:hint="eastAsia" w:ascii="仿宋" w:hAnsi="仿宋" w:eastAsia="仿宋" w:cs="仿宋"/>
          <w:color w:val="auto"/>
          <w:sz w:val="24"/>
          <w:szCs w:val="28"/>
          <w:highlight w:val="none"/>
        </w:rPr>
        <w:t xml:space="preserve">，详细内容及要求见附件采购需求。</w:t>
      </w:r>
      <w:r/>
    </w:p>
    <w:p>
      <w:pPr>
        <w:ind w:firstLine="480"/>
        <w:spacing w:line="360" w:lineRule="auto"/>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本项目是否接受联合体：</w:t>
      </w:r>
      <w:r>
        <w:rPr>
          <w:rFonts w:hint="eastAsia" w:ascii="仿宋" w:hAnsi="仿宋" w:eastAsia="仿宋" w:cs="仿宋"/>
          <w:color w:val="auto"/>
          <w:sz w:val="24"/>
          <w:szCs w:val="28"/>
          <w:highlight w:val="none"/>
        </w:rPr>
        <w:t xml:space="preserve">不接受。</w:t>
      </w:r>
      <w:r/>
    </w:p>
    <w:p>
      <w:pPr>
        <w:pStyle w:val="775"/>
        <w:jc w:val="left"/>
        <w:spacing w:before="0" w:after="0" w:line="360" w:lineRule="auto"/>
        <w:shd w:val="clear" w:color="auto"/>
        <w:rPr>
          <w:rFonts w:hint="eastAsia" w:ascii="仿宋" w:hAnsi="仿宋" w:eastAsia="仿宋" w:cs="仿宋"/>
          <w:b w:val="0"/>
          <w:color w:val="auto"/>
          <w:highlight w:val="none"/>
        </w:rPr>
      </w:pPr>
      <w:r/>
      <w:bookmarkStart w:id="22" w:name="_Toc142925612"/>
      <w:r>
        <w:rPr>
          <w:rFonts w:hint="eastAsia" w:ascii="仿宋" w:hAnsi="仿宋" w:eastAsia="仿宋" w:cs="仿宋"/>
          <w:b w:val="0"/>
          <w:color w:val="auto"/>
          <w:highlight w:val="none"/>
        </w:rPr>
        <w:t xml:space="preserve">二、申请人的资格要求：</w:t>
      </w:r>
      <w:bookmarkEnd w:id="13"/>
      <w:r/>
      <w:bookmarkEnd w:id="14"/>
      <w:r/>
      <w:bookmarkEnd w:id="22"/>
      <w:r/>
      <w:r/>
    </w:p>
    <w:p>
      <w:pPr>
        <w:ind w:firstLine="480"/>
        <w:spacing w:line="360" w:lineRule="auto"/>
        <w:shd w:val="clear" w:color="auto"/>
        <w:rPr>
          <w:rFonts w:hint="eastAsia" w:ascii="仿宋" w:hAnsi="仿宋" w:eastAsia="仿宋" w:cs="仿宋"/>
          <w:color w:val="auto"/>
          <w:sz w:val="24"/>
          <w:szCs w:val="28"/>
          <w:highlight w:val="none"/>
        </w:rPr>
      </w:pPr>
      <w:r/>
      <w:bookmarkStart w:id="23" w:name="EBc1bc06189b4a41ccac26e04e92f3d69f"/>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rPr>
        <w:tab/>
      </w:r>
      <w:r>
        <w:rPr>
          <w:rFonts w:hint="eastAsia" w:ascii="仿宋" w:hAnsi="仿宋" w:eastAsia="仿宋" w:cs="仿宋"/>
          <w:color w:val="auto"/>
          <w:sz w:val="24"/>
          <w:szCs w:val="28"/>
          <w:highlight w:val="none"/>
        </w:rPr>
        <w:t xml:space="preserve">满足《中华人民共和国政府采购法》第二十二条规定；</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（1）具有独立承担民事责任的能力（提供法人或者其他组织的营业执照等证明文件扫描件；</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为自然人的，提供其身份证扫描件）；</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（2）具有良好的商业信誉和健全的财务会计制度（提供</w:t>
      </w:r>
      <w:r>
        <w:rPr>
          <w:rFonts w:hint="eastAsia" w:ascii="仿宋" w:hAnsi="仿宋" w:eastAsia="仿宋" w:cs="仿宋"/>
          <w:color w:val="auto"/>
          <w:sz w:val="24"/>
          <w:szCs w:val="28"/>
          <w:highlight w:val="none"/>
          <w:lang w:eastAsia="zh-CN"/>
        </w:rPr>
        <w:t xml:space="preserve">2025年度财务报告</w:t>
      </w:r>
      <w:r>
        <w:rPr>
          <w:rFonts w:hint="eastAsia" w:ascii="仿宋" w:hAnsi="仿宋" w:eastAsia="仿宋" w:cs="仿宋"/>
          <w:color w:val="auto"/>
          <w:sz w:val="24"/>
          <w:szCs w:val="28"/>
          <w:highlight w:val="none"/>
        </w:rPr>
        <w:t xml:space="preserve">，成立不满一年的提供</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财务报告，或银行出具的资信证明，或财政部门认可的政府采购专业担保机构出具的投标担保函等或提供资格承诺函）；</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（3）具有履行合同所必需的设备和专业技术能力（见</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相关信息一览表或提供资格承诺函）；</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（4）有依法缴纳税收和社会保障资金的良好记录（提供参加本次政府采购活动前半年内</w:t>
      </w:r>
      <w:r>
        <w:rPr>
          <w:rFonts w:hint="eastAsia" w:ascii="仿宋" w:hAnsi="仿宋" w:eastAsia="仿宋" w:cs="仿宋"/>
          <w:color w:val="auto"/>
          <w:sz w:val="24"/>
          <w:szCs w:val="28"/>
          <w:highlight w:val="none"/>
          <w:lang w:eastAsia="zh-CN"/>
        </w:rPr>
        <w:t xml:space="preserve">任意一个月</w:t>
      </w:r>
      <w:r>
        <w:rPr>
          <w:rFonts w:hint="eastAsia" w:ascii="仿宋" w:hAnsi="仿宋" w:eastAsia="仿宋" w:cs="仿宋"/>
          <w:color w:val="auto"/>
          <w:sz w:val="24"/>
          <w:szCs w:val="28"/>
          <w:highlight w:val="none"/>
        </w:rPr>
        <w:t xml:space="preserve">依法缴纳税收和社会保险的凭据或提供资格承诺函）；</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（5）参加政府采购活动前三年内，在经营活动中没有重大违法记录（见</w:t>
      </w:r>
      <w:r>
        <w:rPr>
          <w:rFonts w:hint="eastAsia" w:ascii="仿宋" w:hAnsi="仿宋" w:eastAsia="仿宋" w:cs="仿宋"/>
          <w:color w:val="auto"/>
          <w:sz w:val="24"/>
          <w:szCs w:val="28"/>
          <w:highlight w:val="none"/>
          <w:lang w:eastAsia="zh-CN"/>
        </w:rPr>
        <w:t xml:space="preserve">磋商承诺函</w:t>
      </w:r>
      <w:r>
        <w:rPr>
          <w:rFonts w:hint="eastAsia" w:ascii="仿宋" w:hAnsi="仿宋" w:eastAsia="仿宋" w:cs="仿宋"/>
          <w:color w:val="auto"/>
          <w:sz w:val="24"/>
          <w:szCs w:val="28"/>
          <w:highlight w:val="none"/>
        </w:rPr>
        <w:t xml:space="preserve">或提供资格承诺函）；</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（6）法律、行政法规规定的其他条件；</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2.落实政府采购政策需满足的资格要求：</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w:t>
      </w:r>
      <w:r>
        <w:rPr>
          <w:rFonts w:hint="eastAsia" w:ascii="仿宋" w:hAnsi="仿宋" w:eastAsia="仿宋" w:cs="仿宋"/>
          <w:color w:val="auto"/>
          <w:sz w:val="24"/>
          <w:szCs w:val="28"/>
          <w:highlight w:val="none"/>
          <w:lang w:val="en-US" w:eastAsia="zh-CN"/>
        </w:rPr>
        <w:t xml:space="preserve">根据财政部、工业和信息化部关于印发《政府采购促进中小企业发展管理办法》的通知及苏财购【2021】34号的相关规定，本项目专门面向中小微企业采购，只接受中小微企业磋商。中小企业划分标准见《工业和信息化部、国家统计局、国家发展和改革委员会、财政部关于印发中小企业划型标准规定的通知》(工信部联企业[2011]300号)(所属行业：农、林、牧、渔业)</w:t>
      </w:r>
      <w:r>
        <w:rPr>
          <w:rFonts w:hint="eastAsia" w:ascii="仿宋" w:hAnsi="仿宋" w:eastAsia="仿宋" w:cs="仿宋"/>
          <w:color w:val="auto"/>
          <w:sz w:val="24"/>
          <w:szCs w:val="28"/>
          <w:highlight w:val="none"/>
        </w:rPr>
        <w:t xml:space="preserve">。</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3.本项目的特定资格要求：</w:t>
      </w:r>
      <w:r>
        <w:rPr>
          <w:rFonts w:hint="eastAsia" w:ascii="仿宋" w:hAnsi="仿宋" w:eastAsia="仿宋" w:cs="仿宋"/>
          <w:color w:val="auto"/>
          <w:sz w:val="24"/>
          <w:szCs w:val="28"/>
          <w:highlight w:val="none"/>
          <w:lang w:val="en-US" w:eastAsia="zh-CN"/>
        </w:rPr>
        <w:t xml:space="preserve">无</w:t>
      </w:r>
      <w:r>
        <w:rPr>
          <w:rFonts w:hint="eastAsia" w:ascii="仿宋" w:hAnsi="仿宋" w:eastAsia="仿宋" w:cs="仿宋"/>
          <w:color w:val="auto"/>
          <w:sz w:val="24"/>
          <w:szCs w:val="28"/>
          <w:highlight w:val="none"/>
        </w:rPr>
        <w:t xml:space="preserve">。</w:t>
      </w:r>
      <w:bookmarkEnd w:id="23"/>
      <w:r/>
      <w:r/>
    </w:p>
    <w:p>
      <w:pPr>
        <w:pStyle w:val="775"/>
        <w:jc w:val="left"/>
        <w:spacing w:before="0" w:after="0" w:line="360" w:lineRule="auto"/>
        <w:shd w:val="clear" w:color="auto"/>
        <w:rPr>
          <w:rFonts w:hint="eastAsia" w:ascii="仿宋" w:hAnsi="仿宋" w:eastAsia="仿宋" w:cs="仿宋"/>
          <w:b w:val="0"/>
          <w:color w:val="auto"/>
          <w:highlight w:val="none"/>
        </w:rPr>
      </w:pPr>
      <w:r/>
      <w:bookmarkStart w:id="24" w:name="_Toc73365459"/>
      <w:r/>
      <w:bookmarkStart w:id="25" w:name="_Toc142925613"/>
      <w:r/>
      <w:bookmarkStart w:id="26" w:name="_Toc73364846"/>
      <w:r>
        <w:rPr>
          <w:rFonts w:hint="eastAsia" w:ascii="仿宋" w:hAnsi="仿宋" w:eastAsia="仿宋" w:cs="仿宋"/>
          <w:b w:val="0"/>
          <w:color w:val="auto"/>
          <w:highlight w:val="none"/>
        </w:rPr>
        <w:t xml:space="preserve">三、获取磋商文件</w:t>
      </w:r>
      <w:bookmarkEnd w:id="24"/>
      <w:r/>
      <w:bookmarkEnd w:id="25"/>
      <w:r/>
      <w:bookmarkEnd w:id="26"/>
      <w:r>
        <w:rPr>
          <w:rFonts w:hint="eastAsia" w:ascii="仿宋" w:hAnsi="仿宋" w:eastAsia="仿宋" w:cs="仿宋"/>
          <w:b w:val="0"/>
          <w:color w:val="auto"/>
          <w:highlight w:val="none"/>
        </w:rPr>
        <w:t xml:space="preserve">：本项目采用网上注册登记方式</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访问电子招标投标交易平台的网络地址和方法：</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（1）登录http://jszfcg.jscz.gov.cn/jszc/login首页点击“苏采云”进入系统。</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（2）获取采购文件的方式：</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“苏采云”系统用户注册--获取“CA数字证书”--CA绑定与登录--网上报名--下载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(后缀名为.kedt”)。</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（3）时间：公告发布之日起至</w:t>
      </w:r>
      <w:r>
        <w:rPr>
          <w:rFonts w:hint="eastAsia" w:ascii="仿宋" w:hAnsi="仿宋" w:eastAsia="仿宋" w:cs="仿宋"/>
          <w:color w:val="auto"/>
          <w:sz w:val="24"/>
          <w:szCs w:val="28"/>
          <w:highlight w:val="none"/>
          <w:lang w:eastAsia="zh-CN"/>
        </w:rPr>
        <w:t xml:space="preserve">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年</w:t>
      </w:r>
      <w:r>
        <w:rPr>
          <w:rFonts w:hint="eastAsia" w:ascii="仿宋" w:hAnsi="仿宋" w:eastAsia="仿宋" w:cs="仿宋"/>
          <w:color w:val="auto"/>
          <w:sz w:val="24"/>
          <w:szCs w:val="28"/>
          <w:highlight w:val="none"/>
          <w:lang w:val="en-US" w:eastAsia="zh-CN"/>
        </w:rPr>
        <w:t xml:space="preserve">10</w:t>
      </w:r>
      <w:r>
        <w:rPr>
          <w:rFonts w:hint="eastAsia" w:ascii="仿宋" w:hAnsi="仿宋" w:eastAsia="仿宋" w:cs="仿宋"/>
          <w:color w:val="auto"/>
          <w:sz w:val="24"/>
          <w:szCs w:val="28"/>
          <w:highlight w:val="none"/>
          <w:lang w:eastAsia="zh-CN"/>
        </w:rPr>
        <w:t xml:space="preserve">月</w:t>
      </w:r>
      <w:r>
        <w:rPr>
          <w:rFonts w:hint="eastAsia" w:ascii="仿宋" w:hAnsi="仿宋" w:eastAsia="仿宋" w:cs="仿宋"/>
          <w:color w:val="auto"/>
          <w:sz w:val="24"/>
          <w:szCs w:val="28"/>
          <w:highlight w:val="none"/>
          <w:lang w:val="en-US" w:eastAsia="zh-CN"/>
        </w:rPr>
        <w:t xml:space="preserve">26</w:t>
      </w:r>
      <w:r>
        <w:rPr>
          <w:rFonts w:hint="eastAsia" w:ascii="仿宋" w:hAnsi="仿宋" w:eastAsia="仿宋" w:cs="仿宋"/>
          <w:color w:val="auto"/>
          <w:sz w:val="24"/>
          <w:szCs w:val="28"/>
          <w:highlight w:val="none"/>
          <w:lang w:eastAsia="zh-CN"/>
        </w:rPr>
        <w:t xml:space="preserve">日</w:t>
      </w:r>
      <w:r>
        <w:rPr>
          <w:rFonts w:hint="eastAsia" w:ascii="仿宋" w:hAnsi="仿宋" w:eastAsia="仿宋" w:cs="仿宋"/>
          <w:color w:val="auto"/>
          <w:sz w:val="24"/>
          <w:szCs w:val="28"/>
          <w:highlight w:val="none"/>
          <w:lang w:val="en-US" w:eastAsia="zh-CN"/>
        </w:rPr>
        <w:t xml:space="preserve">24</w:t>
      </w:r>
      <w:r>
        <w:rPr>
          <w:rFonts w:hint="eastAsia" w:ascii="仿宋" w:hAnsi="仿宋" w:eastAsia="仿宋" w:cs="仿宋"/>
          <w:color w:val="auto"/>
          <w:sz w:val="24"/>
          <w:szCs w:val="28"/>
          <w:highlight w:val="none"/>
        </w:rPr>
        <w:t xml:space="preserve">:00（北京时间）。</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2.采购代理机构将数据电文形式的</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加载至电子招标投标交易平台，供潜在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下载或者查阅，各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应在规定的时间内完成</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的下载，逾期可能会造成</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无法下载以及</w:t>
      </w:r>
      <w:r>
        <w:rPr>
          <w:rFonts w:hint="eastAsia" w:ascii="仿宋" w:hAnsi="仿宋" w:eastAsia="仿宋" w:cs="仿宋"/>
          <w:color w:val="auto"/>
          <w:sz w:val="24"/>
          <w:szCs w:val="28"/>
          <w:highlight w:val="none"/>
          <w:lang w:eastAsia="zh-CN"/>
        </w:rPr>
        <w:t xml:space="preserve">响应文件</w:t>
      </w:r>
      <w:r>
        <w:rPr>
          <w:rFonts w:hint="eastAsia" w:ascii="仿宋" w:hAnsi="仿宋" w:eastAsia="仿宋" w:cs="仿宋"/>
          <w:color w:val="auto"/>
          <w:sz w:val="24"/>
          <w:szCs w:val="28"/>
          <w:highlight w:val="none"/>
        </w:rPr>
        <w:t xml:space="preserve">无法上传的情形，由此导致的后果由各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自行承担。</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3.采购文件获取费用:免费</w:t>
      </w:r>
      <w:r/>
    </w:p>
    <w:p>
      <w:pPr>
        <w:pStyle w:val="775"/>
        <w:jc w:val="left"/>
        <w:spacing w:before="0" w:after="0" w:line="360" w:lineRule="auto"/>
        <w:shd w:val="clear" w:color="auto"/>
        <w:rPr>
          <w:rFonts w:hint="eastAsia" w:ascii="仿宋" w:hAnsi="仿宋" w:eastAsia="仿宋" w:cs="仿宋"/>
          <w:b w:val="0"/>
          <w:color w:val="auto"/>
          <w:highlight w:val="none"/>
        </w:rPr>
      </w:pPr>
      <w:r/>
      <w:bookmarkStart w:id="27" w:name="_Toc142925614"/>
      <w:r/>
      <w:bookmarkStart w:id="28" w:name="_Toc73364847"/>
      <w:r/>
      <w:bookmarkStart w:id="29" w:name="_Toc73365460"/>
      <w:r>
        <w:rPr>
          <w:rFonts w:hint="eastAsia" w:ascii="仿宋" w:hAnsi="仿宋" w:eastAsia="仿宋" w:cs="仿宋"/>
          <w:b w:val="0"/>
          <w:color w:val="auto"/>
          <w:highlight w:val="none"/>
        </w:rPr>
        <w:t xml:space="preserve">四、首次</w:t>
      </w:r>
      <w:r>
        <w:rPr>
          <w:rFonts w:hint="eastAsia" w:ascii="仿宋" w:hAnsi="仿宋" w:eastAsia="仿宋" w:cs="仿宋"/>
          <w:b w:val="0"/>
          <w:color w:val="auto"/>
          <w:highlight w:val="none"/>
          <w:lang w:eastAsia="zh-CN"/>
        </w:rPr>
        <w:t xml:space="preserve">响应文件</w:t>
      </w:r>
      <w:r>
        <w:rPr>
          <w:rFonts w:hint="eastAsia" w:ascii="仿宋" w:hAnsi="仿宋" w:eastAsia="仿宋" w:cs="仿宋"/>
          <w:b w:val="0"/>
          <w:color w:val="auto"/>
          <w:highlight w:val="none"/>
        </w:rPr>
        <w:t xml:space="preserve">提交</w:t>
      </w:r>
      <w:bookmarkEnd w:id="27"/>
      <w:r/>
      <w:bookmarkEnd w:id="28"/>
      <w:r/>
      <w:bookmarkEnd w:id="29"/>
      <w:r/>
      <w:r/>
    </w:p>
    <w:p>
      <w:pPr>
        <w:ind w:firstLine="480"/>
        <w:spacing w:line="360" w:lineRule="auto"/>
        <w:shd w:val="clear" w:color="auto"/>
        <w:rPr>
          <w:rFonts w:hint="eastAsia" w:ascii="仿宋" w:hAnsi="仿宋" w:eastAsia="仿宋" w:cs="仿宋"/>
          <w:color w:val="auto"/>
          <w:sz w:val="24"/>
          <w:szCs w:val="20"/>
          <w:highlight w:val="none"/>
        </w:rPr>
      </w:pPr>
      <w:r>
        <w:rPr>
          <w:rFonts w:hint="eastAsia" w:ascii="仿宋" w:hAnsi="仿宋" w:eastAsia="仿宋" w:cs="仿宋"/>
          <w:color w:val="auto"/>
          <w:sz w:val="24"/>
          <w:highlight w:val="none"/>
        </w:rPr>
        <w:t xml:space="preserve">1.提交</w:t>
      </w:r>
      <w:r>
        <w:rPr>
          <w:rFonts w:hint="eastAsia" w:ascii="仿宋" w:hAnsi="仿宋" w:eastAsia="仿宋" w:cs="仿宋"/>
          <w:color w:val="auto"/>
          <w:sz w:val="24"/>
          <w:szCs w:val="20"/>
          <w:highlight w:val="none"/>
        </w:rPr>
        <w:t xml:space="preserve">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时间：</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线上递交</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w:t>
      </w:r>
      <w:r>
        <w:rPr>
          <w:rFonts w:hint="eastAsia" w:ascii="仿宋" w:hAnsi="仿宋" w:eastAsia="仿宋" w:cs="仿宋"/>
          <w:color w:val="auto"/>
          <w:sz w:val="24"/>
          <w:highlight w:val="none"/>
        </w:rPr>
        <w:t xml:space="preserve">间：</w:t>
      </w:r>
      <w:r>
        <w:rPr>
          <w:rFonts w:hint="eastAsia" w:ascii="仿宋" w:hAnsi="仿宋" w:eastAsia="仿宋" w:cs="仿宋"/>
          <w:color w:val="auto"/>
          <w:sz w:val="24"/>
          <w:highlight w:val="none"/>
          <w:lang w:eastAsia="zh-CN"/>
        </w:rPr>
        <w:t xml:space="preserve">2026年10月30日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2.提交首次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地点：</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线上地点：将后缀名为“.kedt”的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导入政府采购客户端工具--制作</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--导出加密的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(后缀名为zip) --通过“苏采云”系统上传</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。具体详见《苏采云系统供应商操作手册》。</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szCs w:val="20"/>
          <w:highlight w:val="none"/>
        </w:rPr>
        <w:t xml:space="preserve"> </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提交的截止时间：</w:t>
      </w:r>
      <w:r>
        <w:rPr>
          <w:rFonts w:hint="eastAsia" w:ascii="仿宋" w:hAnsi="仿宋" w:eastAsia="仿宋" w:cs="仿宋"/>
          <w:color w:val="auto"/>
          <w:sz w:val="24"/>
          <w:highlight w:val="none"/>
          <w:lang w:eastAsia="zh-CN"/>
        </w:rPr>
        <w:t xml:space="preserve">2026年10月30日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，在截止时间后送达及上传至“苏采云”系统的响应文件为无效文件，将被拒收。</w:t>
      </w:r>
      <w:r/>
    </w:p>
    <w:p>
      <w:pPr>
        <w:pStyle w:val="775"/>
        <w:jc w:val="left"/>
        <w:spacing w:before="0" w:after="0" w:line="360" w:lineRule="auto"/>
        <w:shd w:val="clear" w:color="auto"/>
        <w:rPr>
          <w:rFonts w:hint="eastAsia" w:ascii="仿宋" w:hAnsi="仿宋" w:eastAsia="仿宋" w:cs="仿宋"/>
          <w:b w:val="0"/>
          <w:color w:val="auto"/>
          <w:highlight w:val="none"/>
        </w:rPr>
      </w:pPr>
      <w:r/>
      <w:bookmarkStart w:id="30" w:name="_Toc73364848"/>
      <w:r/>
      <w:bookmarkStart w:id="31" w:name="_Toc73365461"/>
      <w:r/>
      <w:bookmarkStart w:id="32" w:name="_Toc142925615"/>
      <w:r>
        <w:rPr>
          <w:rFonts w:hint="eastAsia" w:ascii="仿宋" w:hAnsi="仿宋" w:eastAsia="仿宋" w:cs="仿宋"/>
          <w:b w:val="0"/>
          <w:color w:val="auto"/>
          <w:highlight w:val="none"/>
        </w:rPr>
        <w:t xml:space="preserve">五、开启</w:t>
      </w:r>
      <w:bookmarkEnd w:id="30"/>
      <w:r/>
      <w:bookmarkEnd w:id="31"/>
      <w:r/>
      <w:bookmarkEnd w:id="32"/>
      <w:r/>
      <w:r/>
    </w:p>
    <w:p>
      <w:pPr>
        <w:ind w:firstLine="480"/>
        <w:spacing w:line="360" w:lineRule="auto"/>
        <w:shd w:val="clear" w:color="auto"/>
        <w:rPr>
          <w:rFonts w:hint="eastAsia" w:ascii="仿宋" w:hAnsi="仿宋" w:eastAsia="仿宋" w:cs="仿宋"/>
          <w:bCs/>
          <w:color w:val="auto"/>
          <w:sz w:val="24"/>
          <w:szCs w:val="28"/>
          <w:highlight w:val="none"/>
        </w:rPr>
      </w:pPr>
      <w:r/>
      <w:bookmarkStart w:id="33" w:name="EB8a200117cd0b4a25898d702d9f200195"/>
      <w:r/>
      <w:bookmarkEnd w:id="33"/>
      <w:r>
        <w:rPr>
          <w:rFonts w:hint="eastAsia" w:ascii="仿宋" w:hAnsi="仿宋" w:eastAsia="仿宋" w:cs="仿宋"/>
          <w:bCs/>
          <w:color w:val="auto"/>
          <w:sz w:val="24"/>
          <w:szCs w:val="28"/>
          <w:highlight w:val="none"/>
        </w:rPr>
        <w:t xml:space="preserve">1.</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文件开启时间：</w:t>
      </w:r>
      <w:r>
        <w:rPr>
          <w:rFonts w:hint="eastAsia" w:ascii="仿宋" w:hAnsi="仿宋" w:eastAsia="仿宋" w:cs="仿宋"/>
          <w:color w:val="auto"/>
          <w:sz w:val="24"/>
          <w:highlight w:val="none"/>
          <w:lang w:eastAsia="zh-CN"/>
        </w:rPr>
        <w:t xml:space="preserve">2026年10月30日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:00</w:t>
      </w:r>
      <w:r>
        <w:rPr>
          <w:rFonts w:hint="eastAsia" w:ascii="仿宋" w:hAnsi="仿宋" w:eastAsia="仿宋" w:cs="仿宋"/>
          <w:bCs/>
          <w:color w:val="auto"/>
          <w:sz w:val="24"/>
          <w:szCs w:val="28"/>
          <w:highlight w:val="none"/>
        </w:rPr>
        <w:t xml:space="preserve">（北京时间）。</w:t>
      </w:r>
      <w:r/>
    </w:p>
    <w:p>
      <w:pPr>
        <w:ind w:firstLine="480"/>
        <w:spacing w:line="360" w:lineRule="auto"/>
        <w:shd w:val="clear" w:color="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文件开启地点：“苏采云”系统（网址：http://jszfcg.jsczt.cn/）“开标大厅”进入系统“开标大厅”。</w:t>
      </w:r>
      <w:r/>
    </w:p>
    <w:p>
      <w:pPr>
        <w:ind w:firstLine="480"/>
        <w:spacing w:line="360" w:lineRule="auto"/>
        <w:shd w:val="clear" w:color="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shd w:val="clear" w:color="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4.不见面交易相关要求和说明如下：</w:t>
      </w:r>
      <w:r/>
    </w:p>
    <w:p>
      <w:pPr>
        <w:ind w:firstLine="480"/>
        <w:spacing w:line="360" w:lineRule="auto"/>
        <w:shd w:val="clear" w:color="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（1）不见面开标项目的时间均以国家授时中心发布的时间为准；</w:t>
      </w:r>
      <w:r/>
    </w:p>
    <w:p>
      <w:pPr>
        <w:ind w:firstLine="480"/>
        <w:spacing w:line="360" w:lineRule="auto"/>
        <w:shd w:val="clear" w:color="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（2）开标当日，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不必抵达开标现场，仅需在任意地点通过“苏采云”系统（网址：http://jszfcg.jsczt.cn/）“开标大厅”进入系统“开标大厅”参与开标过程；</w:t>
      </w:r>
      <w:r/>
    </w:p>
    <w:p>
      <w:pPr>
        <w:ind w:firstLine="480"/>
        <w:spacing w:line="360" w:lineRule="auto"/>
        <w:shd w:val="clear" w:color="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（3）未按时加入开标会议区并完成登录操作的或未能在开标会议区内全程参与交互的，视为放弃交互和放弃对开评标全过程提疑的权利，</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将无法看到解密指令、异议回复、唱标等实时情况，并承担由此导致的一切后果；</w:t>
      </w:r>
      <w:r/>
    </w:p>
    <w:p>
      <w:pPr>
        <w:ind w:firstLine="480"/>
        <w:spacing w:line="360" w:lineRule="auto"/>
        <w:shd w:val="clear" w:color="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递交截止时间后，采购人或采购代理机构将在系统内公布</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名单然后通过开标会议区发出</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解密的指令，</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在各自地点按规定时间自行实施远程解密，</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解密限定在</w:t>
      </w:r>
      <w:r>
        <w:rPr>
          <w:rFonts w:hint="eastAsia" w:ascii="仿宋" w:hAnsi="仿宋" w:eastAsia="仿宋" w:cs="仿宋"/>
          <w:bCs/>
          <w:color w:val="auto"/>
          <w:sz w:val="24"/>
          <w:szCs w:val="28"/>
          <w:highlight w:val="none"/>
          <w:lang w:val="en-US" w:eastAsia="zh-CN"/>
        </w:rPr>
        <w:t xml:space="preserve">磋商响应</w:t>
      </w:r>
      <w:r>
        <w:rPr>
          <w:rFonts w:hint="eastAsia" w:ascii="仿宋" w:hAnsi="仿宋" w:eastAsia="仿宋" w:cs="仿宋"/>
          <w:bCs/>
          <w:color w:val="auto"/>
          <w:sz w:val="24"/>
          <w:szCs w:val="28"/>
          <w:highlight w:val="none"/>
        </w:rPr>
        <w:t xml:space="preserve">截止时间后30分钟之间完成。因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在规定时间内未能解密、解密失败或解密超时，视为</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撤销其</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；因网上平台发生故障，导致无法按时完成</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解密或开、评标工作无法进行的，可根据实际情况相应延迟解密时间或调整开、评标时间（友情提示：若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已领取副锁（含多把副锁）请注意正副锁的使用差别）。本项目在限定的解密时间内，只要有一家</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解密成功，即视为网上招投标平台运行无故障。</w:t>
      </w:r>
      <w:r/>
    </w:p>
    <w:p>
      <w:pPr>
        <w:ind w:firstLine="480"/>
        <w:spacing w:line="360" w:lineRule="auto"/>
        <w:shd w:val="clear" w:color="auto"/>
        <w:rPr>
          <w:rFonts w:hint="eastAsia" w:ascii="仿宋" w:hAnsi="仿宋" w:eastAsia="仿宋" w:cs="仿宋"/>
          <w:color w:val="auto"/>
          <w:highlight w:val="none"/>
        </w:rPr>
      </w:pPr>
      <w:r>
        <w:rPr>
          <w:rFonts w:hint="eastAsia" w:ascii="仿宋" w:hAnsi="仿宋" w:eastAsia="仿宋" w:cs="仿宋"/>
          <w:bCs/>
          <w:color w:val="auto"/>
          <w:sz w:val="24"/>
          <w:szCs w:val="28"/>
          <w:highlight w:val="none"/>
        </w:rPr>
        <w:t xml:space="preserve">（5）因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自身软硬件配备不齐全或发生故障等问题而导致在交互过程中出现不稳定或中断等情况的，由</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自身承担一切后果。</w:t>
      </w:r>
      <w:r/>
    </w:p>
    <w:p>
      <w:pPr>
        <w:pStyle w:val="775"/>
        <w:jc w:val="left"/>
        <w:spacing w:before="0" w:after="0" w:line="360" w:lineRule="auto"/>
        <w:shd w:val="clear" w:color="auto"/>
        <w:rPr>
          <w:rFonts w:hint="eastAsia" w:ascii="仿宋" w:hAnsi="仿宋" w:eastAsia="仿宋" w:cs="仿宋"/>
          <w:b w:val="0"/>
          <w:color w:val="auto"/>
          <w:highlight w:val="none"/>
        </w:rPr>
      </w:pPr>
      <w:r/>
      <w:bookmarkStart w:id="34" w:name="_Toc142925616"/>
      <w:r/>
      <w:bookmarkStart w:id="35" w:name="_Toc73364849"/>
      <w:r/>
      <w:bookmarkStart w:id="36" w:name="_Toc73365462"/>
      <w:r>
        <w:rPr>
          <w:rFonts w:hint="eastAsia" w:ascii="仿宋" w:hAnsi="仿宋" w:eastAsia="仿宋" w:cs="仿宋"/>
          <w:b w:val="0"/>
          <w:color w:val="auto"/>
          <w:highlight w:val="none"/>
        </w:rPr>
        <w:t xml:space="preserve">六、公告期限</w:t>
      </w:r>
      <w:bookmarkEnd w:id="34"/>
      <w:r/>
      <w:bookmarkEnd w:id="35"/>
      <w:r/>
      <w:bookmarkEnd w:id="36"/>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自本公告发布之日起3个工作日。</w:t>
      </w:r>
      <w:r/>
    </w:p>
    <w:p>
      <w:pPr>
        <w:pStyle w:val="775"/>
        <w:jc w:val="left"/>
        <w:spacing w:before="0" w:after="0" w:line="360" w:lineRule="auto"/>
        <w:shd w:val="clear" w:color="auto"/>
        <w:rPr>
          <w:rFonts w:hint="eastAsia" w:ascii="仿宋" w:hAnsi="仿宋" w:eastAsia="仿宋" w:cs="仿宋"/>
          <w:b w:val="0"/>
          <w:color w:val="auto"/>
          <w:highlight w:val="none"/>
        </w:rPr>
      </w:pPr>
      <w:r/>
      <w:bookmarkStart w:id="37" w:name="_Toc73364850"/>
      <w:r/>
      <w:bookmarkStart w:id="38" w:name="_Toc142925617"/>
      <w:r/>
      <w:bookmarkStart w:id="39" w:name="_Toc73365463"/>
      <w:r>
        <w:rPr>
          <w:rFonts w:hint="eastAsia" w:ascii="仿宋" w:hAnsi="仿宋" w:eastAsia="仿宋" w:cs="仿宋"/>
          <w:b w:val="0"/>
          <w:color w:val="auto"/>
          <w:highlight w:val="none"/>
        </w:rPr>
        <w:t xml:space="preserve">七、其他补充事宜</w:t>
      </w:r>
      <w:bookmarkEnd w:id="37"/>
      <w:r/>
      <w:bookmarkEnd w:id="38"/>
      <w:r/>
      <w:bookmarkEnd w:id="39"/>
      <w:r/>
      <w:r/>
    </w:p>
    <w:p>
      <w:pPr>
        <w:ind w:firstLine="480"/>
        <w:spacing w:line="360" w:lineRule="auto"/>
        <w:shd w:val="clear" w:color="auto"/>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1</w:t>
      </w:r>
      <w:bookmarkStart w:id="40" w:name="EB1247fe96f55245ac875f9695ac8922a5"/>
      <w:r>
        <w:rPr>
          <w:rFonts w:hint="eastAsia" w:ascii="仿宋" w:hAnsi="仿宋" w:eastAsia="仿宋" w:cs="仿宋"/>
          <w:color w:val="auto"/>
          <w:sz w:val="24"/>
          <w:szCs w:val="28"/>
          <w:highlight w:val="none"/>
        </w:rPr>
        <w:t xml:space="preserve">.现场查勘：采购人不统一组织现场查勘，供应商可自行联系采购人联系查勘。</w:t>
      </w:r>
      <w:bookmarkEnd w:id="40"/>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3.请各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及时关注和查看江苏省政府采购网（网址：http://www.ccgp-jiangsu.gov.cn/）是否有更正公告。</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如确定参加投标，可自行下载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及有关资料，按照《“苏采云”系统供应商操作手册》（以下简称《操作手册》，下载地址：http://www.ccgp-jiangsu.gov.cn/jiangsu/zlxz/ee/ee3a4bc5a3454aa2b0d9312230633ce9.html规定领取CA和办理电子签章。</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客服热线：0519-86722803、0519-86722805</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镇江地区意源（方正）线下办理方式：镇江市润州区冠城路8号工人大厦7楼公共资源交易中心大厅CA窗口</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工作日办公时间：9:00-12:00、13:30-17:30</w:t>
      </w:r>
      <w:r/>
    </w:p>
    <w:p>
      <w:pPr>
        <w:ind w:firstLine="480"/>
        <w:spacing w:line="360" w:lineRule="auto"/>
        <w:shd w:val="clear" w:color="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联系人：邵娟，联系电话：13655287962  </w:t>
      </w:r>
      <w:r>
        <w:rPr>
          <w:rFonts w:hint="eastAsia" w:ascii="仿宋" w:hAnsi="仿宋" w:eastAsia="仿宋" w:cs="仿宋"/>
          <w:color w:val="auto"/>
          <w:sz w:val="24"/>
          <w:highlight w:val="none"/>
        </w:rPr>
        <w:t xml:space="preserve">客服电话：400-608-6099</w:t>
      </w:r>
      <w:r/>
    </w:p>
    <w:p>
      <w:pPr>
        <w:pStyle w:val="775"/>
        <w:jc w:val="left"/>
        <w:spacing w:before="0" w:after="0" w:line="360" w:lineRule="auto"/>
        <w:shd w:val="clear" w:color="auto"/>
        <w:rPr>
          <w:rFonts w:hint="eastAsia" w:ascii="仿宋" w:hAnsi="仿宋" w:eastAsia="仿宋" w:cs="仿宋"/>
          <w:b w:val="0"/>
          <w:color w:val="auto"/>
          <w:highlight w:val="none"/>
        </w:rPr>
      </w:pPr>
      <w:r/>
      <w:bookmarkStart w:id="41" w:name="_Toc73365464"/>
      <w:r/>
      <w:bookmarkStart w:id="42" w:name="_Toc142925618"/>
      <w:r/>
      <w:bookmarkStart w:id="43" w:name="_Toc73364851"/>
      <w:r>
        <w:rPr>
          <w:rFonts w:hint="eastAsia" w:ascii="仿宋" w:hAnsi="仿宋" w:eastAsia="仿宋" w:cs="仿宋"/>
          <w:b w:val="0"/>
          <w:color w:val="auto"/>
          <w:highlight w:val="none"/>
        </w:rPr>
        <w:t xml:space="preserve">八、对本次磋商提出询问，请按以下方式联系。</w:t>
      </w:r>
      <w:bookmarkEnd w:id="41"/>
      <w:r/>
      <w:bookmarkEnd w:id="42"/>
      <w:r/>
      <w:bookmarkEnd w:id="43"/>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镇江市姚桥镇人民政府</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镇江新区姚桥镇中心路12号</w:t>
      </w:r>
      <w:r/>
    </w:p>
    <w:p>
      <w:pPr>
        <w:ind w:left="0" w:firstLine="480"/>
        <w:jc w:val="left"/>
        <w:keepLines w:val="0"/>
        <w:keepNext w:val="0"/>
        <w:pageBreakBefore w:val="0"/>
        <w:spacing w:line="360" w:lineRule="auto"/>
        <w:shd w:val="clear" w:color="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val="en-US" w:eastAsia="zh-CN"/>
        </w:rPr>
        <w:t xml:space="preserve">13812451413</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江苏省镇江市润州区金润大道808号联东u谷官塘科技港1#楼6层</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shd w:val="clear" w:color="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shd w:val="clear" w:color="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right="360"/>
        <w:jc w:val="right"/>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74"/>
        <w:jc w:val="center"/>
        <w:spacing w:before="0" w:after="0" w:line="360" w:lineRule="auto"/>
        <w:shd w:val="clear" w:color="auto"/>
        <w:rPr>
          <w:rFonts w:hint="eastAsia" w:ascii="仿宋" w:hAnsi="仿宋" w:eastAsia="仿宋" w:cs="仿宋"/>
          <w:color w:val="auto"/>
          <w:sz w:val="36"/>
          <w:highlight w:val="none"/>
        </w:rPr>
      </w:pPr>
      <w:r/>
      <w:bookmarkStart w:id="44" w:name="_Toc73365466"/>
      <w:r/>
      <w:bookmarkStart w:id="45" w:name="_Toc73364853"/>
      <w:r/>
      <w:bookmarkStart w:id="46" w:name="_Toc142925619"/>
      <w:r>
        <w:rPr>
          <w:rFonts w:hint="eastAsia" w:ascii="仿宋" w:hAnsi="仿宋" w:eastAsia="仿宋" w:cs="仿宋"/>
          <w:color w:val="auto"/>
          <w:sz w:val="36"/>
          <w:highlight w:val="none"/>
        </w:rPr>
        <w:t xml:space="preserve">第二部分  供应商须知</w:t>
      </w:r>
      <w:bookmarkEnd w:id="44"/>
      <w:r/>
      <w:bookmarkEnd w:id="45"/>
      <w:r/>
      <w:bookmarkEnd w:id="46"/>
      <w:r/>
      <w:bookmarkStart w:id="47" w:name="EBa296f577883c4f0bbc5440ff75db1386"/>
      <w:r/>
      <w:bookmarkEnd w:id="47"/>
      <w:r/>
      <w:bookmarkStart w:id="48" w:name="EB5cd81c9ed9c74e6abb08406c193c2747"/>
      <w:r/>
      <w:bookmarkEnd w:id="48"/>
      <w:r/>
      <w:r/>
    </w:p>
    <w:p>
      <w:pPr>
        <w:pStyle w:val="775"/>
        <w:spacing w:before="0" w:after="0" w:line="360" w:lineRule="auto"/>
        <w:shd w:val="clear" w:color="auto"/>
        <w:rPr>
          <w:rFonts w:hint="eastAsia" w:ascii="仿宋" w:hAnsi="仿宋" w:eastAsia="仿宋" w:cs="仿宋"/>
          <w:color w:val="auto"/>
          <w:sz w:val="32"/>
          <w:highlight w:val="none"/>
        </w:rPr>
      </w:pPr>
      <w:r/>
      <w:bookmarkStart w:id="49" w:name="_Toc73364854"/>
      <w:r/>
      <w:bookmarkStart w:id="50" w:name="_Toc73365467"/>
      <w:r/>
      <w:bookmarkStart w:id="51" w:name="_Toc142925620"/>
      <w:r>
        <w:rPr>
          <w:rFonts w:hint="eastAsia" w:ascii="仿宋" w:hAnsi="仿宋" w:eastAsia="仿宋" w:cs="仿宋"/>
          <w:color w:val="auto"/>
          <w:sz w:val="32"/>
          <w:highlight w:val="none"/>
        </w:rPr>
        <w:t xml:space="preserve">一、总  则</w:t>
      </w:r>
      <w:bookmarkEnd w:id="49"/>
      <w:r/>
      <w:bookmarkEnd w:id="50"/>
      <w:r/>
      <w:bookmarkEnd w:id="51"/>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52" w:name="_Toc73364855"/>
      <w:r/>
      <w:bookmarkStart w:id="53" w:name="_Toc73365468"/>
      <w:r/>
      <w:bookmarkStart w:id="54" w:name="_Toc142925621"/>
      <w:r>
        <w:rPr>
          <w:rFonts w:hint="eastAsia" w:ascii="仿宋" w:hAnsi="仿宋" w:eastAsia="仿宋" w:cs="仿宋"/>
          <w:color w:val="auto"/>
          <w:sz w:val="30"/>
          <w:highlight w:val="none"/>
        </w:rPr>
        <w:t xml:space="preserve">1．适用范围</w:t>
      </w:r>
      <w:bookmarkEnd w:id="52"/>
      <w:r/>
      <w:bookmarkEnd w:id="53"/>
      <w:r/>
      <w:bookmarkEnd w:id="54"/>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1.1本磋商文件仅适用于</w:t>
      </w:r>
      <w:r>
        <w:rPr>
          <w:rFonts w:hint="eastAsia" w:ascii="仿宋" w:hAnsi="仿宋" w:eastAsia="仿宋" w:cs="仿宋"/>
          <w:color w:val="auto"/>
          <w:sz w:val="24"/>
          <w:highlight w:val="none"/>
          <w:lang w:eastAsia="zh-CN"/>
        </w:rPr>
        <w:t xml:space="preserve">2026年度镇江市姚桥镇有机质提升行动项目（社会化服务）</w:t>
      </w:r>
      <w:r>
        <w:rPr>
          <w:rFonts w:hint="eastAsia" w:ascii="仿宋" w:hAnsi="仿宋" w:eastAsia="仿宋" w:cs="仿宋"/>
          <w:color w:val="auto"/>
          <w:sz w:val="24"/>
          <w:highlight w:val="none"/>
        </w:rPr>
        <w:t xml:space="preserve">。</w:t>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55" w:name="_Toc142925622"/>
      <w:r/>
      <w:bookmarkStart w:id="56" w:name="_Toc73364856"/>
      <w:r/>
      <w:bookmarkStart w:id="57" w:name="_Toc73365469"/>
      <w:r>
        <w:rPr>
          <w:rFonts w:hint="eastAsia" w:ascii="仿宋" w:hAnsi="仿宋" w:eastAsia="仿宋" w:cs="仿宋"/>
          <w:color w:val="auto"/>
          <w:sz w:val="30"/>
          <w:highlight w:val="none"/>
        </w:rPr>
        <w:t xml:space="preserve">2．定义</w:t>
      </w:r>
      <w:bookmarkEnd w:id="55"/>
      <w:r/>
      <w:bookmarkEnd w:id="56"/>
      <w:r/>
      <w:bookmarkEnd w:id="57"/>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磋商文件中下列术语应解释为：</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2.1“磋商组织方”系指采购代理机构或采购单位，即：江苏初始建设项目管理有限公司。</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2.2“采购人”系指依法进行政府采购的国家机关、事业单位、团体组织，即：</w:t>
      </w:r>
      <w:r>
        <w:rPr>
          <w:rFonts w:hint="eastAsia" w:ascii="仿宋" w:hAnsi="仿宋" w:eastAsia="仿宋" w:cs="仿宋"/>
          <w:color w:val="auto"/>
          <w:sz w:val="24"/>
          <w:highlight w:val="none"/>
          <w:lang w:eastAsia="zh-CN"/>
        </w:rPr>
        <w:t xml:space="preserve">镇江市姚桥镇人民政府</w:t>
      </w:r>
      <w:r>
        <w:rPr>
          <w:rFonts w:hint="eastAsia" w:ascii="仿宋" w:hAnsi="仿宋" w:eastAsia="仿宋" w:cs="仿宋"/>
          <w:color w:val="auto"/>
          <w:sz w:val="24"/>
          <w:highlight w:val="none"/>
        </w:rPr>
        <w:t xml:space="preserve">。</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2.3“供应商”系指向采购人提供货物、工程或者服务的法人、其他组织或者自然人。</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2.4“服务”系指本磋商文件所述采购标的，即</w:t>
      </w:r>
      <w:bookmarkStart w:id="58" w:name="EBec1f6c4cc37b4caa9954b6d54854e118"/>
      <w:r>
        <w:rPr>
          <w:rFonts w:hint="eastAsia" w:ascii="仿宋" w:hAnsi="仿宋" w:eastAsia="仿宋" w:cs="仿宋"/>
          <w:color w:val="auto"/>
          <w:sz w:val="24"/>
          <w:highlight w:val="none"/>
          <w:lang w:eastAsia="zh-CN"/>
        </w:rPr>
        <w:t xml:space="preserve">2026年度镇江市姚桥镇有机质提升行动项目（社会化服务），</w:t>
      </w:r>
      <w:r>
        <w:rPr>
          <w:rFonts w:hint="eastAsia" w:ascii="仿宋" w:hAnsi="仿宋" w:eastAsia="仿宋" w:cs="仿宋"/>
          <w:color w:val="auto"/>
          <w:sz w:val="24"/>
          <w:highlight w:val="none"/>
        </w:rPr>
        <w:t xml:space="preserve">亦包括磋商文件中特别描述的其它形式的服务。</w:t>
      </w:r>
      <w:bookmarkEnd w:id="58"/>
      <w:r/>
      <w:bookmarkStart w:id="59" w:name="EB89d8329d8427458280f540d38c10b31e"/>
      <w:r/>
      <w:bookmarkEnd w:id="59"/>
      <w:r/>
      <w:bookmarkStart w:id="60" w:name="EB380327a095314e7c8b67f909ffec846b"/>
      <w:r/>
      <w:bookmarkEnd w:id="60"/>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61" w:name="_Toc142925623"/>
      <w:r/>
      <w:bookmarkStart w:id="62" w:name="_Toc73365470"/>
      <w:r/>
      <w:bookmarkStart w:id="63" w:name="_Toc73364857"/>
      <w:r>
        <w:rPr>
          <w:rFonts w:hint="eastAsia" w:ascii="仿宋" w:hAnsi="仿宋" w:eastAsia="仿宋" w:cs="仿宋"/>
          <w:color w:val="auto"/>
          <w:sz w:val="30"/>
          <w:highlight w:val="none"/>
        </w:rPr>
        <w:t xml:space="preserve">3．本次采购方式</w:t>
      </w:r>
      <w:bookmarkEnd w:id="61"/>
      <w:r/>
      <w:bookmarkEnd w:id="62"/>
      <w:r/>
      <w:bookmarkEnd w:id="63"/>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3.1本次采购采取竞争性磋商采购方式：综合评分法。</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3.2是否接受进口产品：否</w:t>
      </w:r>
      <w:bookmarkStart w:id="64" w:name="EBb827a1ee09c24503810ef107662edd9b"/>
      <w:r/>
      <w:bookmarkEnd w:id="64"/>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3.3本项目资格审查方式：资格后审</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3.4本次采购确定的成交人数量：</w:t>
      </w:r>
      <w:bookmarkStart w:id="65" w:name="EB239bc7938d02463888f23182e5e568e7"/>
      <w:r>
        <w:rPr>
          <w:rFonts w:hint="eastAsia" w:ascii="仿宋" w:hAnsi="仿宋" w:eastAsia="仿宋" w:cs="仿宋"/>
          <w:color w:val="auto"/>
          <w:sz w:val="24"/>
          <w:highlight w:val="none"/>
        </w:rPr>
        <w:t xml:space="preserve">1名</w:t>
      </w:r>
      <w:bookmarkEnd w:id="65"/>
      <w:r/>
      <w:r/>
    </w:p>
    <w:p>
      <w:pPr>
        <w:ind w:firstLine="480"/>
        <w:spacing w:line="360" w:lineRule="auto"/>
        <w:shd w:val="clear" w:color="auto"/>
        <w:rPr>
          <w:rFonts w:hint="eastAsia" w:ascii="仿宋" w:hAnsi="仿宋" w:eastAsia="仿宋" w:cs="仿宋"/>
          <w:color w:val="auto"/>
          <w:sz w:val="24"/>
          <w:highlight w:val="none"/>
        </w:rPr>
      </w:pPr>
      <w:r/>
      <w:bookmarkStart w:id="66" w:name="EB65f1af548e51428190f46d10e71d9afc"/>
      <w:r>
        <w:rPr>
          <w:rFonts w:hint="eastAsia" w:ascii="仿宋" w:hAnsi="仿宋" w:eastAsia="仿宋" w:cs="仿宋"/>
          <w:color w:val="auto"/>
          <w:sz w:val="24"/>
          <w:highlight w:val="none"/>
        </w:rPr>
        <w:t xml:space="preserve">3.5本项目不接受联合体投标。</w:t>
      </w:r>
      <w:bookmarkEnd w:id="66"/>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67" w:name="_Toc73364858"/>
      <w:r/>
      <w:bookmarkStart w:id="68" w:name="_Toc73365471"/>
      <w:r/>
      <w:bookmarkStart w:id="69" w:name="_Toc142925624"/>
      <w:r>
        <w:rPr>
          <w:rFonts w:hint="eastAsia" w:ascii="仿宋" w:hAnsi="仿宋" w:eastAsia="仿宋" w:cs="仿宋"/>
          <w:color w:val="auto"/>
          <w:sz w:val="30"/>
          <w:highlight w:val="none"/>
        </w:rPr>
        <w:t xml:space="preserve">4．磋商费用</w:t>
      </w:r>
      <w:bookmarkEnd w:id="67"/>
      <w:r/>
      <w:bookmarkEnd w:id="68"/>
      <w:r/>
      <w:bookmarkEnd w:id="69"/>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供应商应自行承担所有与参加磋商有关的费用。</w:t>
      </w:r>
      <w:r/>
    </w:p>
    <w:p>
      <w:pPr>
        <w:ind w:firstLine="480"/>
        <w:spacing w:line="360" w:lineRule="auto"/>
        <w:shd w:val="clear" w:color="auto"/>
        <w:rPr>
          <w:rFonts w:hint="eastAsia" w:ascii="仿宋" w:hAnsi="仿宋" w:eastAsia="仿宋" w:cs="仿宋"/>
          <w:color w:val="auto"/>
          <w:sz w:val="24"/>
          <w:highlight w:val="none"/>
        </w:rPr>
      </w:pPr>
      <w:r/>
      <w:bookmarkStart w:id="70" w:name="EB40123891a88845fa925ab9b19e3b0236"/>
      <w:r/>
      <w:bookmarkEnd w:id="70"/>
      <w:r/>
      <w:bookmarkStart w:id="71" w:name="EB43d98a67a624490d81135a7e75760740"/>
      <w:r/>
      <w:bookmarkEnd w:id="71"/>
      <w:r>
        <w:rPr>
          <w:rFonts w:hint="eastAsia" w:ascii="仿宋" w:hAnsi="仿宋" w:eastAsia="仿宋" w:cs="仿宋"/>
          <w:color w:val="auto"/>
          <w:sz w:val="24"/>
          <w:highlight w:val="none"/>
        </w:rPr>
        <w:t xml:space="preserve">4.1.1代理服务费</w:t>
      </w:r>
      <w:r/>
    </w:p>
    <w:p>
      <w:pPr>
        <w:ind w:firstLine="9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本项目代理费由采购人支付</w:t>
      </w:r>
      <w:r>
        <w:rPr>
          <w:rFonts w:hint="eastAsia" w:ascii="仿宋" w:hAnsi="仿宋" w:eastAsia="仿宋" w:cs="仿宋"/>
          <w:color w:val="auto"/>
          <w:sz w:val="24"/>
          <w:highlight w:val="none"/>
        </w:rPr>
        <w:t xml:space="preserve">。</w:t>
      </w:r>
      <w:r/>
    </w:p>
    <w:p>
      <w:pPr>
        <w:ind w:firstLine="9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收费标准：</w:t>
      </w:r>
      <w:bookmarkStart w:id="72" w:name="EB7a0faf1835c449f7a87507750d3927d5"/>
      <w:r>
        <w:rPr>
          <w:rFonts w:hint="eastAsia" w:ascii="仿宋" w:hAnsi="仿宋" w:eastAsia="仿宋" w:cs="仿宋"/>
          <w:color w:val="auto"/>
          <w:sz w:val="24"/>
          <w:highlight w:val="none"/>
        </w:rPr>
        <w:t xml:space="preserve">参照关于印发《江苏省政府采购代理服务收费指导意见》的通知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苏政采协[2024]20号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文件</w:t>
      </w:r>
      <w:bookmarkEnd w:id="72"/>
      <w:r>
        <w:rPr>
          <w:rFonts w:hint="eastAsia" w:ascii="仿宋" w:hAnsi="仿宋" w:eastAsia="仿宋" w:cs="仿宋"/>
          <w:color w:val="auto"/>
          <w:sz w:val="24"/>
          <w:highlight w:val="none"/>
          <w:lang w:val="en-US" w:eastAsia="zh-CN"/>
        </w:rPr>
        <w:t xml:space="preserve">下浮50%</w:t>
      </w:r>
      <w:r>
        <w:rPr>
          <w:rFonts w:hint="eastAsia" w:ascii="仿宋" w:hAnsi="仿宋" w:eastAsia="仿宋" w:cs="仿宋"/>
          <w:color w:val="auto"/>
          <w:sz w:val="24"/>
          <w:highlight w:val="none"/>
        </w:rPr>
        <w:t xml:space="preserve">收取</w:t>
      </w:r>
      <w:r>
        <w:rPr>
          <w:rFonts w:hint="eastAsia" w:ascii="仿宋" w:hAnsi="仿宋" w:eastAsia="仿宋" w:cs="仿宋"/>
          <w:color w:val="auto"/>
          <w:sz w:val="24"/>
          <w:highlight w:val="none"/>
          <w:lang w:val="en-US" w:eastAsia="zh-CN"/>
        </w:rPr>
        <w:t xml:space="preserve">人民币12000</w:t>
      </w:r>
      <w:r>
        <w:rPr>
          <w:rFonts w:hint="eastAsia" w:ascii="仿宋" w:hAnsi="仿宋" w:eastAsia="仿宋" w:cs="仿宋"/>
          <w:color w:val="auto"/>
          <w:sz w:val="24"/>
          <w:highlight w:val="none"/>
        </w:rPr>
        <w:t xml:space="preserve">元。</w:t>
      </w:r>
      <w:r/>
    </w:p>
    <w:p>
      <w:pPr>
        <w:ind w:firstLine="9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磋商代理费用收款信息： </w:t>
      </w:r>
      <w:r/>
    </w:p>
    <w:p>
      <w:pPr>
        <w:ind w:firstLine="9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收款单位：江苏初始建设项目管理有限公司 </w:t>
      </w:r>
      <w:r/>
    </w:p>
    <w:p>
      <w:pPr>
        <w:ind w:firstLine="9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收款账号： </w:t>
      </w:r>
      <w:r>
        <w:rPr>
          <w:rFonts w:hint="eastAsia" w:ascii="仿宋" w:hAnsi="仿宋" w:eastAsia="仿宋" w:cs="仿宋"/>
          <w:color w:val="auto"/>
          <w:sz w:val="24"/>
          <w:highlight w:val="none"/>
          <w:lang w:eastAsia="zh-CN"/>
        </w:rPr>
        <w:t xml:space="preserve">932009010130486528</w:t>
      </w:r>
      <w:r>
        <w:rPr>
          <w:rFonts w:hint="eastAsia" w:ascii="仿宋" w:hAnsi="仿宋" w:eastAsia="仿宋" w:cs="仿宋"/>
          <w:color w:val="auto"/>
          <w:sz w:val="24"/>
          <w:highlight w:val="none"/>
        </w:rPr>
        <w:t xml:space="preserve"> </w:t>
      </w:r>
      <w:r/>
    </w:p>
    <w:p>
      <w:pPr>
        <w:ind w:firstLine="960"/>
        <w:spacing w:line="360" w:lineRule="auto"/>
        <w:shd w:val="clear" w:color="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eastAsia="zh-CN"/>
        </w:rPr>
        <w:t xml:space="preserve">中国邮政储蓄银行股份有限公司镇江市新区支行</w:t>
      </w:r>
      <w:r/>
    </w:p>
    <w:p>
      <w:pPr>
        <w:spacing w:line="360" w:lineRule="auto"/>
        <w:shd w:val="clear" w:color="auto"/>
        <w:rPr>
          <w:rFonts w:hint="eastAsia" w:ascii="仿宋" w:hAnsi="仿宋" w:eastAsia="仿宋" w:cs="仿宋"/>
          <w:color w:val="auto"/>
          <w:sz w:val="24"/>
          <w:highlight w:val="none"/>
        </w:rPr>
      </w:pPr>
      <w:r/>
      <w:bookmarkStart w:id="73" w:name="EB8633ad3759944644a66e4e2eaeee72a3"/>
      <w:r/>
      <w:bookmarkEnd w:id="73"/>
      <w:r/>
      <w:bookmarkStart w:id="74" w:name="EB1608b4f3843c4d57bbea435940c28320"/>
      <w:r/>
      <w:bookmarkEnd w:id="74"/>
      <w:r/>
      <w:bookmarkStart w:id="75" w:name="EBec8dff27d11c488cb859d64e4c4c3d0a"/>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4.1.2数字证书费用见</w:t>
      </w:r>
      <w:bookmarkEnd w:id="75"/>
      <w:r>
        <w:rPr>
          <w:rFonts w:hint="eastAsia" w:ascii="仿宋" w:hAnsi="仿宋" w:eastAsia="仿宋" w:cs="仿宋"/>
          <w:color w:val="auto"/>
          <w:sz w:val="24"/>
          <w:highlight w:val="none"/>
        </w:rPr>
        <w:t xml:space="preserve">：</w:t>
      </w:r>
      <w:r/>
    </w:p>
    <w:p>
      <w:pPr>
        <w:ind w:firstLine="720"/>
        <w:spacing w:line="360" w:lineRule="auto"/>
        <w:shd w:val="clear" w:color="auto"/>
        <w:rPr>
          <w:rFonts w:hint="eastAsia" w:ascii="仿宋" w:hAnsi="仿宋" w:eastAsia="仿宋" w:cs="仿宋"/>
          <w:color w:val="auto"/>
          <w:sz w:val="24"/>
          <w:highlight w:val="none"/>
          <w:u w:val="single"/>
        </w:rPr>
      </w:pPr>
      <w:r>
        <w:rPr>
          <w:rFonts w:hint="eastAsia" w:ascii="仿宋" w:hAnsi="仿宋" w:eastAsia="仿宋" w:cs="仿宋"/>
          <w:color w:val="auto"/>
          <w:highlight w:val="none"/>
          <w:u w:val="single"/>
        </w:rPr>
        <w:t xml:space="preserve">http://jsxcmm.com/help/help.html</w:t>
      </w:r>
      <w:r>
        <w:rPr>
          <w:rFonts w:hint="eastAsia" w:ascii="仿宋" w:hAnsi="仿宋" w:eastAsia="仿宋" w:cs="仿宋"/>
          <w:color w:val="auto"/>
          <w:sz w:val="24"/>
          <w:highlight w:val="none"/>
          <w:u w:val="single"/>
        </w:rPr>
        <w:t xml:space="preserve">。</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4.2不论磋商的结果如何，磋商组织方在任何情况下均无义务和责任承担上述费用。</w:t>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76" w:name="_Toc142925625"/>
      <w:r/>
      <w:bookmarkStart w:id="77" w:name="_Toc73365472"/>
      <w:r/>
      <w:bookmarkStart w:id="78" w:name="_Toc73364859"/>
      <w:r>
        <w:rPr>
          <w:rFonts w:hint="eastAsia" w:ascii="仿宋" w:hAnsi="仿宋" w:eastAsia="仿宋" w:cs="仿宋"/>
          <w:color w:val="auto"/>
          <w:sz w:val="30"/>
          <w:highlight w:val="none"/>
        </w:rPr>
        <w:t xml:space="preserve">5．政策功能</w:t>
      </w:r>
      <w:bookmarkEnd w:id="76"/>
      <w:r/>
      <w:bookmarkEnd w:id="77"/>
      <w:r/>
      <w:bookmarkEnd w:id="78"/>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bookmarkStart w:id="79" w:name="_Toc73365473"/>
      <w:r/>
      <w:bookmarkStart w:id="80" w:name="_Toc142925626"/>
      <w:r/>
      <w:bookmarkStart w:id="81" w:name="_Toc73364860"/>
      <w:r>
        <w:rPr>
          <w:rFonts w:ascii="仿宋" w:hAnsi="仿宋" w:eastAsia="仿宋" w:cs="华文宋体"/>
          <w:color w:val="auto"/>
          <w:sz w:val="24"/>
          <w:highlight w:val="none"/>
          <w:lang w:eastAsia="zh-CN"/>
        </w:rPr>
        <w:t xml:space="preserve">5.1支持中小企业发展</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符合中小企业划分标准的个体工商户，在政府采购活动中视同中小企业。</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5.1.2在政府采购活动中，</w:t>
      </w:r>
      <w:r>
        <w:rPr>
          <w:rFonts w:hint="eastAsia" w:ascii="仿宋" w:hAnsi="仿宋" w:eastAsia="仿宋" w:cs="华文宋体"/>
          <w:color w:val="auto"/>
          <w:sz w:val="24"/>
          <w:highlight w:val="none"/>
          <w:lang w:eastAsia="zh-CN"/>
        </w:rPr>
        <w:t xml:space="preserve">供应商</w:t>
      </w:r>
      <w:r>
        <w:rPr>
          <w:rFonts w:ascii="仿宋" w:hAnsi="仿宋" w:eastAsia="仿宋" w:cs="华文宋体"/>
          <w:color w:val="auto"/>
          <w:sz w:val="24"/>
          <w:highlight w:val="none"/>
          <w:lang w:eastAsia="zh-CN"/>
        </w:rPr>
        <w:t xml:space="preserve">提供的货物、工程或者服务符合下列情形的，享受中小企业扶持政策：</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5.1.2.2在工程采购项目中，工程由中小企业承建，即工程施工单位为中小企业；</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在货物采购项目中，</w:t>
      </w:r>
      <w:r>
        <w:rPr>
          <w:rFonts w:hint="eastAsia" w:ascii="仿宋" w:hAnsi="仿宋" w:eastAsia="仿宋" w:cs="华文宋体"/>
          <w:color w:val="auto"/>
          <w:sz w:val="24"/>
          <w:highlight w:val="none"/>
          <w:lang w:eastAsia="zh-CN"/>
        </w:rPr>
        <w:t xml:space="preserve">供应商</w:t>
      </w:r>
      <w:r>
        <w:rPr>
          <w:rFonts w:ascii="仿宋" w:hAnsi="仿宋" w:eastAsia="仿宋" w:cs="华文宋体"/>
          <w:color w:val="auto"/>
          <w:sz w:val="24"/>
          <w:highlight w:val="none"/>
          <w:lang w:eastAsia="zh-CN"/>
        </w:rPr>
        <w:t xml:space="preserve">提供的货物既有中小企业制造货物，也有大型企业制造货物的，不享受中小企业扶持政策。</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5.1.3根据《政府采购促进中小企业发展管理办法》要求，本项目专门面向中小微企业。</w:t>
      </w:r>
      <w:r>
        <w:rPr>
          <w:rFonts w:hint="eastAsia" w:ascii="仿宋" w:hAnsi="仿宋" w:eastAsia="仿宋" w:cs="华文宋体"/>
          <w:color w:val="auto"/>
          <w:sz w:val="24"/>
          <w:highlight w:val="none"/>
          <w:lang w:eastAsia="zh-CN"/>
        </w:rPr>
        <w:t xml:space="preserve">供应商</w:t>
      </w:r>
      <w:r>
        <w:rPr>
          <w:rFonts w:ascii="仿宋" w:hAnsi="仿宋" w:eastAsia="仿宋" w:cs="华文宋体"/>
          <w:color w:val="auto"/>
          <w:sz w:val="24"/>
          <w:highlight w:val="none"/>
          <w:lang w:eastAsia="zh-CN"/>
        </w:rPr>
        <w:t xml:space="preserve">应按照</w:t>
      </w:r>
      <w:r>
        <w:rPr>
          <w:rFonts w:hint="eastAsia" w:ascii="仿宋" w:hAnsi="仿宋" w:eastAsia="仿宋" w:cs="华文宋体"/>
          <w:color w:val="auto"/>
          <w:sz w:val="24"/>
          <w:highlight w:val="none"/>
          <w:lang w:eastAsia="zh-CN"/>
        </w:rPr>
        <w:t xml:space="preserve">采购文件</w:t>
      </w:r>
      <w:r>
        <w:rPr>
          <w:rFonts w:ascii="仿宋" w:hAnsi="仿宋" w:eastAsia="仿宋" w:cs="华文宋体"/>
          <w:color w:val="auto"/>
          <w:sz w:val="24"/>
          <w:highlight w:val="none"/>
          <w:lang w:eastAsia="zh-CN"/>
        </w:rPr>
        <w:t xml:space="preserve">格式要求提供《中小企业声明函》，</w:t>
      </w:r>
      <w:r>
        <w:rPr>
          <w:rFonts w:hint="eastAsia" w:ascii="仿宋" w:hAnsi="仿宋" w:eastAsia="仿宋" w:cs="华文宋体"/>
          <w:color w:val="auto"/>
          <w:sz w:val="24"/>
          <w:highlight w:val="none"/>
          <w:lang w:eastAsia="zh-CN"/>
        </w:rPr>
        <w:t xml:space="preserve">供应商</w:t>
      </w:r>
      <w:r>
        <w:rPr>
          <w:rFonts w:ascii="仿宋" w:hAnsi="仿宋" w:eastAsia="仿宋" w:cs="华文宋体"/>
          <w:color w:val="auto"/>
          <w:sz w:val="24"/>
          <w:highlight w:val="none"/>
          <w:lang w:eastAsia="zh-CN"/>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5.2强制采购信息安全产品</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5.3支持绿色发展</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5.3.2本项目中涉及商品包装和快递包装的，参考《财政部办公厅关于印发</w:t>
      </w:r>
      <w:r>
        <w:rPr>
          <w:rFonts w:hint="eastAsia" w:ascii="仿宋" w:hAnsi="仿宋" w:eastAsia="仿宋" w:cs="华文宋体"/>
          <w:color w:val="auto"/>
          <w:sz w:val="24"/>
          <w:highlight w:val="none"/>
          <w:lang w:eastAsia="zh-CN"/>
        </w:rPr>
        <w:t xml:space="preserve">&lt;</w:t>
      </w:r>
      <w:r>
        <w:rPr>
          <w:rFonts w:ascii="仿宋" w:hAnsi="仿宋" w:eastAsia="仿宋" w:cs="华文宋体"/>
          <w:color w:val="auto"/>
          <w:sz w:val="24"/>
          <w:highlight w:val="none"/>
          <w:lang w:eastAsia="zh-CN"/>
        </w:rPr>
        <w:t xml:space="preserve">商品包装政府采购需求标准（试行）</w:t>
      </w:r>
      <w:r>
        <w:rPr>
          <w:rFonts w:hint="eastAsia" w:ascii="仿宋" w:hAnsi="仿宋" w:eastAsia="仿宋" w:cs="华文宋体"/>
          <w:color w:val="auto"/>
          <w:sz w:val="24"/>
          <w:highlight w:val="none"/>
          <w:lang w:eastAsia="zh-CN"/>
        </w:rPr>
        <w:t xml:space="preserve">&gt;</w:t>
      </w:r>
      <w:r>
        <w:rPr>
          <w:rFonts w:ascii="仿宋" w:hAnsi="仿宋" w:eastAsia="仿宋" w:cs="华文宋体"/>
          <w:color w:val="auto"/>
          <w:sz w:val="24"/>
          <w:highlight w:val="none"/>
          <w:lang w:eastAsia="zh-CN"/>
        </w:rPr>
        <w:t xml:space="preserve">、</w:t>
      </w:r>
      <w:r>
        <w:rPr>
          <w:rFonts w:hint="eastAsia" w:ascii="仿宋" w:hAnsi="仿宋" w:eastAsia="仿宋" w:cs="华文宋体"/>
          <w:color w:val="auto"/>
          <w:sz w:val="24"/>
          <w:highlight w:val="none"/>
          <w:lang w:eastAsia="zh-CN"/>
        </w:rPr>
        <w:t xml:space="preserve">&lt;</w:t>
      </w:r>
      <w:r>
        <w:rPr>
          <w:rFonts w:ascii="仿宋" w:hAnsi="仿宋" w:eastAsia="仿宋" w:cs="华文宋体"/>
          <w:color w:val="auto"/>
          <w:sz w:val="24"/>
          <w:highlight w:val="none"/>
          <w:lang w:eastAsia="zh-CN"/>
        </w:rPr>
        <w:t xml:space="preserve">快递包装政府采购需求标准（试行）</w:t>
      </w:r>
      <w:r>
        <w:rPr>
          <w:rFonts w:hint="eastAsia" w:ascii="仿宋" w:hAnsi="仿宋" w:eastAsia="仿宋" w:cs="华文宋体"/>
          <w:color w:val="auto"/>
          <w:sz w:val="24"/>
          <w:highlight w:val="none"/>
          <w:lang w:eastAsia="zh-CN"/>
        </w:rPr>
        <w:t xml:space="preserve">&gt;</w:t>
      </w:r>
      <w:r>
        <w:rPr>
          <w:rFonts w:ascii="仿宋" w:hAnsi="仿宋" w:eastAsia="仿宋" w:cs="华文宋体"/>
          <w:color w:val="auto"/>
          <w:sz w:val="24"/>
          <w:highlight w:val="none"/>
          <w:lang w:eastAsia="zh-CN"/>
        </w:rPr>
        <w:t xml:space="preserve">的通知》（财办库〔2020〕123号）规定的包装需求标准。</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5.4根据国家扶持中小企业的有关政策，采购项目</w:t>
      </w:r>
      <w:r>
        <w:rPr>
          <w:rFonts w:hint="eastAsia" w:ascii="仿宋" w:hAnsi="仿宋" w:eastAsia="仿宋" w:cs="华文宋体"/>
          <w:color w:val="auto"/>
          <w:sz w:val="24"/>
          <w:highlight w:val="none"/>
          <w:lang w:eastAsia="zh-CN"/>
        </w:rPr>
        <w:t xml:space="preserve">成交供应商</w:t>
      </w:r>
      <w:r>
        <w:rPr>
          <w:rFonts w:ascii="仿宋" w:hAnsi="仿宋" w:eastAsia="仿宋" w:cs="华文宋体"/>
          <w:color w:val="auto"/>
          <w:sz w:val="24"/>
          <w:highlight w:val="none"/>
          <w:lang w:eastAsia="zh-CN"/>
        </w:rPr>
        <w:t xml:space="preserve">在履约过程中如遇到资金困难，凭政府采购合同在相关金融机构办理授信申请，相关事宜请查阅“镇江市公共资源交易</w:t>
      </w:r>
      <w:r>
        <w:rPr>
          <w:rFonts w:hint="eastAsia" w:ascii="仿宋" w:hAnsi="仿宋" w:eastAsia="仿宋" w:cs="华文宋体"/>
          <w:color w:val="auto"/>
          <w:sz w:val="24"/>
          <w:highlight w:val="none"/>
          <w:lang w:eastAsia="zh-CN"/>
        </w:rPr>
        <w:t xml:space="preserve">中心</w:t>
      </w:r>
      <w:r>
        <w:rPr>
          <w:rFonts w:ascii="仿宋" w:hAnsi="仿宋" w:eastAsia="仿宋" w:cs="华文宋体"/>
          <w:color w:val="auto"/>
          <w:sz w:val="24"/>
          <w:highlight w:val="none"/>
          <w:lang w:eastAsia="zh-CN"/>
        </w:rPr>
        <w:t xml:space="preserve">”网站。</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5.5支持创新发展</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shd w:val="clear" w:color="auto"/>
        <w:rPr>
          <w:rFonts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5.6平等对待内外资企业和符合条件的破产重整企业</w:t>
      </w:r>
      <w:r/>
    </w:p>
    <w:p>
      <w:pPr>
        <w:ind w:firstLine="478"/>
        <w:jc w:val="both"/>
        <w:spacing w:after="0" w:line="360" w:lineRule="auto"/>
        <w:shd w:val="clear" w:color="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华文宋体"/>
          <w:color w:val="auto"/>
          <w:sz w:val="24"/>
          <w:highlight w:val="none"/>
          <w:lang w:eastAsia="zh-CN"/>
        </w:rPr>
        <w:t xml:space="preserve">5.6.1平等对待内外资企业和符合条件的破产重整企业，切实保障企业公平竞争，平等维护企业的合法利益。</w:t>
      </w:r>
      <w:r/>
    </w:p>
    <w:p>
      <w:pPr>
        <w:pStyle w:val="775"/>
        <w:spacing w:before="0" w:after="0" w:line="360" w:lineRule="auto"/>
        <w:shd w:val="clear" w:color="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二、磋商文件</w:t>
      </w:r>
      <w:bookmarkEnd w:id="79"/>
      <w:r/>
      <w:bookmarkEnd w:id="80"/>
      <w:r/>
      <w:bookmarkEnd w:id="81"/>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82" w:name="_Toc73365474"/>
      <w:r/>
      <w:bookmarkStart w:id="83" w:name="_Toc142925627"/>
      <w:r/>
      <w:bookmarkStart w:id="84" w:name="_Toc73364861"/>
      <w:r>
        <w:rPr>
          <w:rFonts w:hint="eastAsia" w:ascii="仿宋" w:hAnsi="仿宋" w:eastAsia="仿宋" w:cs="仿宋"/>
          <w:color w:val="auto"/>
          <w:sz w:val="30"/>
          <w:highlight w:val="none"/>
        </w:rPr>
        <w:t xml:space="preserve">6．磋商文件组成</w:t>
      </w:r>
      <w:bookmarkEnd w:id="82"/>
      <w:r/>
      <w:bookmarkEnd w:id="83"/>
      <w:r/>
      <w:bookmarkEnd w:id="84"/>
      <w:r/>
      <w:r/>
    </w:p>
    <w:p>
      <w:pPr>
        <w:ind w:firstLine="42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6.1磋商文件包括：</w:t>
      </w:r>
      <w:r/>
    </w:p>
    <w:p>
      <w:pPr>
        <w:ind w:firstLine="42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（1）磋商邀请</w:t>
      </w:r>
      <w:r/>
    </w:p>
    <w:p>
      <w:pPr>
        <w:ind w:firstLine="42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（2）供应商须知</w:t>
      </w:r>
      <w:r/>
    </w:p>
    <w:p>
      <w:pPr>
        <w:ind w:firstLine="42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w:t>
      </w:r>
      <w:r/>
    </w:p>
    <w:p>
      <w:pPr>
        <w:ind w:firstLine="42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2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（5）评审办法和标准</w:t>
      </w:r>
      <w:r/>
    </w:p>
    <w:p>
      <w:pPr>
        <w:ind w:firstLine="42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（6）磋商响应文件（格式）</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6.2供应商获取本文件后，应认真阅读本文件中所有的事项、格式条款和规范等要求。</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rPr>
          <w:rFonts w:hint="eastAsia" w:ascii="仿宋" w:hAnsi="仿宋" w:eastAsia="仿宋" w:cs="仿宋"/>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仿宋" w:hAnsi="仿宋" w:eastAsia="仿宋" w:cs="仿宋"/>
          <w:b/>
          <w:color w:val="auto"/>
          <w:sz w:val="24"/>
          <w:highlight w:val="none"/>
        </w:rPr>
        <w:t xml:space="preserve">。</w:t>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85" w:name="_Toc73365475"/>
      <w:r/>
      <w:bookmarkStart w:id="86" w:name="_Toc73364862"/>
      <w:r/>
      <w:bookmarkStart w:id="87" w:name="_Toc142925628"/>
      <w:r>
        <w:rPr>
          <w:rFonts w:hint="eastAsia" w:ascii="仿宋" w:hAnsi="仿宋" w:eastAsia="仿宋" w:cs="仿宋"/>
          <w:color w:val="auto"/>
          <w:sz w:val="30"/>
          <w:highlight w:val="none"/>
        </w:rPr>
        <w:t xml:space="preserve">7．磋商文件的澄清和修改</w:t>
      </w:r>
      <w:bookmarkEnd w:id="85"/>
      <w:r/>
      <w:bookmarkEnd w:id="86"/>
      <w:r/>
      <w:bookmarkEnd w:id="87"/>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7.1任何要求对磋商文件进行澄清的供应商，应及时联系项目联系人。</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 </w:t>
      </w:r>
      <w:r>
        <w:rPr>
          <w:rFonts w:hint="eastAsia" w:ascii="仿宋" w:hAnsi="仿宋" w:eastAsia="仿宋" w:cs="仿宋"/>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7.3磋商组织方可以对已发出的磋商文件进行必要的澄清或者修改。澄清或者修改将在</w:t>
      </w:r>
      <w:r>
        <w:rPr>
          <w:rFonts w:hint="eastAsia" w:ascii="仿宋" w:hAnsi="仿宋" w:eastAsia="仿宋" w:cs="仿宋"/>
          <w:color w:val="auto"/>
          <w:spacing w:val="1"/>
          <w:sz w:val="24"/>
          <w:highlight w:val="none"/>
        </w:rPr>
        <w:t xml:space="preserve">“江苏政府采购网——苏采云平台</w:t>
      </w:r>
      <w:r>
        <w:rPr>
          <w:rFonts w:hint="eastAsia" w:ascii="仿宋" w:hAnsi="仿宋" w:eastAsia="仿宋" w:cs="仿宋"/>
          <w:color w:val="auto"/>
          <w:sz w:val="24"/>
          <w:highlight w:val="none"/>
        </w:rPr>
        <w:t xml:space="preserve">”网站上发布澄清公告。澄清或者修改的内容为磋商文件的组成部分。</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7.5如澄清或修改公告有重新发布电子磋商文件的，供应商应下载最新发布的电子磋商文件制作响应文件。因供应商自身原因未能及时获取的，一切后果由供应商自行承担。</w:t>
      </w:r>
      <w:bookmarkStart w:id="88" w:name="EB6b6863424e2e48afbb4b6eb8be474c89"/>
      <w:r/>
      <w:bookmarkEnd w:id="88"/>
      <w:r/>
      <w:r/>
    </w:p>
    <w:p>
      <w:pPr>
        <w:pStyle w:val="775"/>
        <w:spacing w:before="0" w:after="0" w:line="360" w:lineRule="auto"/>
        <w:shd w:val="clear" w:color="auto"/>
        <w:rPr>
          <w:rFonts w:hint="eastAsia" w:ascii="仿宋" w:hAnsi="仿宋" w:eastAsia="仿宋" w:cs="仿宋"/>
          <w:color w:val="auto"/>
          <w:sz w:val="32"/>
          <w:highlight w:val="none"/>
        </w:rPr>
      </w:pPr>
      <w:r/>
      <w:bookmarkStart w:id="89" w:name="_Toc142925629"/>
      <w:r/>
      <w:bookmarkStart w:id="90" w:name="_Toc73364863"/>
      <w:r/>
      <w:bookmarkStart w:id="91" w:name="_Toc73365476"/>
      <w:r>
        <w:rPr>
          <w:rFonts w:hint="eastAsia" w:ascii="仿宋" w:hAnsi="仿宋" w:eastAsia="仿宋" w:cs="仿宋"/>
          <w:color w:val="auto"/>
          <w:sz w:val="32"/>
          <w:highlight w:val="none"/>
        </w:rPr>
        <w:t xml:space="preserve">三、磋商响应文件</w:t>
      </w:r>
      <w:bookmarkEnd w:id="89"/>
      <w:r/>
      <w:bookmarkEnd w:id="90"/>
      <w:r/>
      <w:bookmarkEnd w:id="91"/>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92" w:name="_Toc142925630"/>
      <w:r/>
      <w:bookmarkStart w:id="93" w:name="_Toc73365477"/>
      <w:r/>
      <w:bookmarkStart w:id="94" w:name="_Toc73364864"/>
      <w:r>
        <w:rPr>
          <w:rFonts w:hint="eastAsia" w:ascii="仿宋" w:hAnsi="仿宋" w:eastAsia="仿宋" w:cs="仿宋"/>
          <w:color w:val="auto"/>
          <w:sz w:val="30"/>
          <w:highlight w:val="none"/>
        </w:rPr>
        <w:t xml:space="preserve">8．编制响应文件的工具</w:t>
      </w:r>
      <w:bookmarkEnd w:id="92"/>
      <w:r/>
      <w:bookmarkEnd w:id="93"/>
      <w:r/>
      <w:bookmarkEnd w:id="94"/>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8.1供应商须通过“江苏政府采购网-苏采云平台”提供的最新响应文件制作软件编制响应文件。</w:t>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95" w:name="_Toc73365478"/>
      <w:r/>
      <w:bookmarkStart w:id="96" w:name="_Toc73364865"/>
      <w:r/>
      <w:bookmarkStart w:id="97" w:name="_Toc142925631"/>
      <w:r>
        <w:rPr>
          <w:rFonts w:hint="eastAsia" w:ascii="仿宋" w:hAnsi="仿宋" w:eastAsia="仿宋" w:cs="仿宋"/>
          <w:color w:val="auto"/>
          <w:sz w:val="30"/>
          <w:highlight w:val="none"/>
        </w:rPr>
        <w:t xml:space="preserve">9．响应文件语言及度量衡单位</w:t>
      </w:r>
      <w:bookmarkEnd w:id="95"/>
      <w:r/>
      <w:bookmarkEnd w:id="96"/>
      <w:r/>
      <w:bookmarkEnd w:id="97"/>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9.2响应文件中所使用的计量单位除磋商文件中另有特殊规定外，一律使用法定计量单位。</w:t>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98" w:name="_Toc142925632"/>
      <w:r/>
      <w:bookmarkStart w:id="99" w:name="_Toc73364866"/>
      <w:r/>
      <w:bookmarkStart w:id="100" w:name="_Toc73365479"/>
      <w:r>
        <w:rPr>
          <w:rFonts w:hint="eastAsia" w:ascii="仿宋" w:hAnsi="仿宋" w:eastAsia="仿宋" w:cs="仿宋"/>
          <w:color w:val="auto"/>
          <w:sz w:val="30"/>
          <w:highlight w:val="none"/>
        </w:rPr>
        <w:t xml:space="preserve">10．响应文件的构成</w:t>
      </w:r>
      <w:bookmarkEnd w:id="98"/>
      <w:r/>
      <w:bookmarkEnd w:id="99"/>
      <w:r/>
      <w:bookmarkEnd w:id="100"/>
      <w:r/>
      <w:r/>
    </w:p>
    <w:p>
      <w:pPr>
        <w:pStyle w:val="938"/>
        <w:ind w:firstLine="425"/>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10.1响应文件分为资格部分、商务部分和技术部分。</w:t>
      </w:r>
      <w:r/>
    </w:p>
    <w:p>
      <w:pPr>
        <w:pStyle w:val="938"/>
        <w:ind w:firstLine="425"/>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10.2资格部分系指供应商提交的证明其有资格参加磋商的文件。</w:t>
      </w:r>
      <w:r/>
    </w:p>
    <w:p>
      <w:pPr>
        <w:pStyle w:val="938"/>
        <w:ind w:firstLine="425"/>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10.3商务部分系指供应商提交的证明其成交后有能力履行合同的文件。</w:t>
      </w:r>
      <w:r/>
    </w:p>
    <w:p>
      <w:pPr>
        <w:pStyle w:val="938"/>
        <w:ind w:firstLine="425"/>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10.4技术部分系指供应商提交的能够证明其提供的服务（货物）符合磋商文件规定的文件。</w:t>
      </w:r>
      <w:r/>
    </w:p>
    <w:p>
      <w:pPr>
        <w:pStyle w:val="938"/>
        <w:ind w:firstLine="425"/>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10.5具体填写格式详见磋商文件第六部分。</w:t>
      </w:r>
      <w:r/>
    </w:p>
    <w:p>
      <w:pPr>
        <w:pStyle w:val="776"/>
        <w:ind w:firstLine="446"/>
        <w:keepLines w:val="0"/>
        <w:keepNext w:val="0"/>
        <w:spacing w:before="0" w:after="0" w:line="360" w:lineRule="auto"/>
        <w:shd w:val="clear" w:color="auto"/>
        <w:rPr>
          <w:rFonts w:hint="eastAsia" w:ascii="仿宋" w:hAnsi="仿宋" w:eastAsia="仿宋" w:cs="仿宋"/>
          <w:color w:val="auto"/>
          <w:sz w:val="30"/>
          <w:highlight w:val="none"/>
        </w:rPr>
      </w:pPr>
      <w:r/>
      <w:bookmarkStart w:id="101" w:name="_Toc73365480"/>
      <w:r/>
      <w:bookmarkStart w:id="102" w:name="_Toc142925633"/>
      <w:r/>
      <w:bookmarkStart w:id="103" w:name="_Toc73364867"/>
      <w:r>
        <w:rPr>
          <w:rFonts w:hint="eastAsia" w:ascii="仿宋" w:hAnsi="仿宋" w:eastAsia="仿宋" w:cs="仿宋"/>
          <w:color w:val="auto"/>
          <w:sz w:val="30"/>
          <w:highlight w:val="none"/>
        </w:rPr>
        <w:t xml:space="preserve">11．响应文件的编写</w:t>
      </w:r>
      <w:bookmarkEnd w:id="101"/>
      <w:r/>
      <w:bookmarkEnd w:id="102"/>
      <w:r/>
      <w:bookmarkEnd w:id="103"/>
      <w:r/>
      <w:r/>
    </w:p>
    <w:p>
      <w:pPr>
        <w:ind w:firstLine="480"/>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11.1供应商应仔细阅读磋商文件，按照磋商文件的要求编制响应文件。响应文件应当对磋商文件提出的要求和条件作出明确响应。</w:t>
      </w:r>
      <w:r/>
    </w:p>
    <w:p>
      <w:pPr>
        <w:ind w:firstLine="480"/>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11.2</w:t>
      </w:r>
      <w:r>
        <w:rPr>
          <w:rFonts w:hint="eastAsia" w:ascii="仿宋" w:hAnsi="仿宋" w:eastAsia="仿宋" w:cs="仿宋"/>
          <w:b/>
          <w:color w:val="auto"/>
          <w:sz w:val="24"/>
          <w:highlight w:val="none"/>
        </w:rPr>
        <w:t xml:space="preserve">供应商在编制响应文件时，各模块内容须填写或提交到对应位置，无相应内容可填的项应填写“无”、“没有相应指标”等明确的回答文字。</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11.3响应文件编排混乱、文字表达不清或上传资料内容模糊所引起的不利后果，由供应商自行承担。</w:t>
      </w:r>
      <w:r/>
    </w:p>
    <w:p>
      <w:pPr>
        <w:ind w:firstLine="480"/>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11.4</w:t>
      </w:r>
      <w:r>
        <w:rPr>
          <w:rFonts w:hint="eastAsia" w:ascii="仿宋" w:hAnsi="仿宋" w:eastAsia="仿宋" w:cs="仿宋"/>
          <w:b/>
          <w:color w:val="auto"/>
          <w:sz w:val="24"/>
          <w:highlight w:val="none"/>
        </w:rPr>
        <w:t xml:space="preserve">供应商必须保证响应文件所提供的全部资料合法、真实、可靠。</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04" w:name="_Toc142925634"/>
      <w:r/>
      <w:bookmarkStart w:id="105" w:name="_Toc73365481"/>
      <w:r/>
      <w:bookmarkStart w:id="106" w:name="_Toc73364868"/>
      <w:r>
        <w:rPr>
          <w:rFonts w:hint="eastAsia" w:ascii="仿宋" w:hAnsi="仿宋" w:eastAsia="仿宋" w:cs="仿宋"/>
          <w:color w:val="auto"/>
          <w:sz w:val="30"/>
          <w:highlight w:val="none"/>
        </w:rPr>
        <w:t xml:space="preserve">12．响应报价</w:t>
      </w:r>
      <w:bookmarkEnd w:id="104"/>
      <w:r/>
      <w:bookmarkEnd w:id="105"/>
      <w:r/>
      <w:bookmarkEnd w:id="106"/>
      <w:r/>
      <w:r/>
    </w:p>
    <w:p>
      <w:pPr>
        <w:ind w:firstLine="480"/>
        <w:spacing w:line="360" w:lineRule="auto"/>
        <w:shd w:val="clear" w:color="auto"/>
        <w:rPr>
          <w:rFonts w:hint="eastAsia" w:ascii="仿宋" w:hAnsi="仿宋" w:eastAsia="仿宋" w:cs="仿宋"/>
          <w:color w:val="auto"/>
          <w:sz w:val="24"/>
          <w:highlight w:val="none"/>
        </w:rPr>
      </w:pPr>
      <w:r/>
      <w:bookmarkStart w:id="107" w:name="EBdf1224c9869e4463a955117a0de4c3b6"/>
      <w:r>
        <w:rPr>
          <w:rFonts w:hint="eastAsia" w:ascii="仿宋" w:hAnsi="仿宋" w:eastAsia="仿宋" w:cs="仿宋"/>
          <w:color w:val="auto"/>
          <w:sz w:val="24"/>
          <w:highlight w:val="none"/>
        </w:rPr>
        <w:t xml:space="preserve">12.1磋商应以人民币报价（保留至小数点后2位，四舍五入）。</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12.2供应商应按磋商文件所提供的各报价表格式报价。</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12.3供应商对本项目应报出最具有竞争力的价格，应包括本次磋商要求提供货物(服务)已支付或将支付的所有费用。</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12.4供应商应按磋商文件的要求在响应文件里提供磋商首轮报价，并根据首轮报价在所附的首轮明细报价表上列明所提供货物（服务）的明细报价。供应商需根据项目需求及自身经验填写明细报价。</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12.5在磋商过程中未对磋商内容作出实质性变更、修改的情况下，如最后报价超过首轮报价，则最后报价无效，以其首轮报价作为最终报价。</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12.6最低磋商报价不能作为成交的唯一保证。</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12.7磋商最后报价即为合同签约价。</w:t>
      </w:r>
      <w:bookmarkEnd w:id="107"/>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08" w:name="_Toc73365482"/>
      <w:r/>
      <w:bookmarkStart w:id="109" w:name="_Toc73364869"/>
      <w:r/>
      <w:bookmarkStart w:id="110" w:name="_Toc142925635"/>
      <w:r>
        <w:rPr>
          <w:rFonts w:hint="eastAsia" w:ascii="仿宋" w:hAnsi="仿宋" w:eastAsia="仿宋" w:cs="仿宋"/>
          <w:color w:val="auto"/>
          <w:sz w:val="30"/>
          <w:highlight w:val="none"/>
        </w:rPr>
        <w:t xml:space="preserve">13．磋商保证金</w:t>
      </w:r>
      <w:bookmarkEnd w:id="108"/>
      <w:r/>
      <w:bookmarkEnd w:id="109"/>
      <w:r/>
      <w:bookmarkEnd w:id="110"/>
      <w:r/>
      <w:r/>
    </w:p>
    <w:p>
      <w:pPr>
        <w:ind w:firstLine="480"/>
        <w:spacing w:line="360" w:lineRule="auto"/>
        <w:shd w:val="clear" w:color="auto"/>
        <w:rPr>
          <w:rFonts w:hint="eastAsia" w:ascii="仿宋" w:hAnsi="仿宋" w:eastAsia="仿宋" w:cs="仿宋"/>
          <w:color w:val="auto"/>
          <w:sz w:val="24"/>
          <w:highlight w:val="none"/>
        </w:rPr>
      </w:pPr>
      <w:r/>
      <w:bookmarkStart w:id="111" w:name="EBffce9a1083124a32b81da965a376b38b"/>
      <w:r>
        <w:rPr>
          <w:rFonts w:hint="eastAsia" w:ascii="仿宋" w:hAnsi="仿宋" w:eastAsia="仿宋" w:cs="仿宋"/>
          <w:color w:val="auto"/>
          <w:sz w:val="24"/>
          <w:highlight w:val="none"/>
        </w:rPr>
        <w:t xml:space="preserve">13.1本项目不收磋商保证金。</w:t>
      </w:r>
      <w:bookmarkEnd w:id="111"/>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12" w:name="_Toc142925636"/>
      <w:r/>
      <w:bookmarkStart w:id="113" w:name="_Toc73364870"/>
      <w:r/>
      <w:bookmarkStart w:id="114" w:name="_Toc73365483"/>
      <w:r>
        <w:rPr>
          <w:rFonts w:hint="eastAsia" w:ascii="仿宋" w:hAnsi="仿宋" w:eastAsia="仿宋" w:cs="仿宋"/>
          <w:color w:val="auto"/>
          <w:sz w:val="30"/>
          <w:highlight w:val="none"/>
        </w:rPr>
        <w:t xml:space="preserve">14．磋商响应有效期</w:t>
      </w:r>
      <w:bookmarkEnd w:id="112"/>
      <w:r/>
      <w:bookmarkEnd w:id="113"/>
      <w:r/>
      <w:bookmarkEnd w:id="114"/>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14.1磋商有效期为：磋商响应文件自磋商之日起</w:t>
      </w:r>
      <w:bookmarkStart w:id="115" w:name="EBe5331d116298431aa240d61d189e1ecb"/>
      <w:r>
        <w:rPr>
          <w:rFonts w:hint="eastAsia" w:ascii="仿宋" w:hAnsi="仿宋" w:eastAsia="仿宋" w:cs="仿宋"/>
          <w:color w:val="auto"/>
          <w:sz w:val="24"/>
          <w:highlight w:val="none"/>
        </w:rPr>
        <w:t xml:space="preserve">45天</w:t>
      </w:r>
      <w:bookmarkEnd w:id="115"/>
      <w:r>
        <w:rPr>
          <w:rFonts w:hint="eastAsia" w:ascii="仿宋" w:hAnsi="仿宋" w:eastAsia="仿宋" w:cs="仿宋"/>
          <w:color w:val="auto"/>
          <w:sz w:val="24"/>
          <w:highlight w:val="none"/>
        </w:rPr>
        <w:t xml:space="preserve">内有效。供应商一旦领取了本磋商文件并参加磋商，即被认为接受了磋商有效期的约定。</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16" w:name="_Toc142925637"/>
      <w:r/>
      <w:bookmarkStart w:id="117" w:name="_Toc73365484"/>
      <w:r/>
      <w:bookmarkStart w:id="118" w:name="_Toc73364871"/>
      <w:r>
        <w:rPr>
          <w:rFonts w:hint="eastAsia" w:ascii="仿宋" w:hAnsi="仿宋" w:eastAsia="仿宋" w:cs="仿宋"/>
          <w:color w:val="auto"/>
          <w:sz w:val="30"/>
          <w:highlight w:val="none"/>
        </w:rPr>
        <w:t xml:space="preserve">15. 响应文件的式样和签署</w:t>
      </w:r>
      <w:bookmarkEnd w:id="116"/>
      <w:r/>
      <w:bookmarkEnd w:id="117"/>
      <w:r/>
      <w:bookmarkEnd w:id="118"/>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15.1供应商应通过响应文件制作软件使用数字认证证书对响应文件进行合成、电子签章及加密打包。</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19" w:name="_Toc142925638"/>
      <w:r/>
      <w:bookmarkStart w:id="120" w:name="_Toc73365485"/>
      <w:r/>
      <w:bookmarkStart w:id="121" w:name="_Toc73364872"/>
      <w:r>
        <w:rPr>
          <w:rFonts w:hint="eastAsia" w:ascii="仿宋" w:hAnsi="仿宋" w:eastAsia="仿宋" w:cs="仿宋"/>
          <w:color w:val="auto"/>
          <w:sz w:val="30"/>
          <w:highlight w:val="none"/>
        </w:rPr>
        <w:t xml:space="preserve">16．响应文件的提交</w:t>
      </w:r>
      <w:bookmarkEnd w:id="119"/>
      <w:r/>
      <w:bookmarkEnd w:id="120"/>
      <w:r/>
      <w:bookmarkEnd w:id="121"/>
      <w:r/>
      <w:r/>
    </w:p>
    <w:p>
      <w:pPr>
        <w:ind w:left="1"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16.1响应文件提交</w:t>
      </w:r>
      <w:r/>
    </w:p>
    <w:p>
      <w:pPr>
        <w:ind w:left="1" w:firstLine="480"/>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仿宋" w:hAnsi="仿宋" w:eastAsia="仿宋" w:cs="仿宋"/>
          <w:b/>
          <w:color w:val="auto"/>
          <w:sz w:val="24"/>
          <w:highlight w:val="none"/>
          <w:u w:val="single"/>
        </w:rPr>
        <w:t xml:space="preserve">时间以电子交易平台时间为准。</w:t>
      </w:r>
      <w:r/>
    </w:p>
    <w:p>
      <w:pPr>
        <w:ind w:left="1" w:firstLine="480"/>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16.1.2</w:t>
      </w:r>
      <w:r>
        <w:rPr>
          <w:rFonts w:hint="eastAsia" w:ascii="仿宋" w:hAnsi="仿宋" w:eastAsia="仿宋" w:cs="仿宋"/>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16.1.3</w:t>
      </w:r>
      <w:r>
        <w:rPr>
          <w:rFonts w:hint="eastAsia" w:ascii="仿宋" w:hAnsi="仿宋" w:eastAsia="仿宋" w:cs="仿宋"/>
          <w:b/>
          <w:color w:val="auto"/>
          <w:sz w:val="24"/>
          <w:highlight w:val="none"/>
          <w:u w:val="single"/>
        </w:rPr>
        <w:t xml:space="preserve">提交完成后至解密前，</w:t>
      </w:r>
      <w:r>
        <w:rPr>
          <w:rFonts w:hint="eastAsia" w:ascii="仿宋" w:hAnsi="仿宋" w:eastAsia="仿宋" w:cs="仿宋"/>
          <w:b/>
          <w:color w:val="auto"/>
          <w:sz w:val="24"/>
          <w:szCs w:val="20"/>
          <w:highlight w:val="none"/>
          <w:u w:val="single"/>
        </w:rPr>
        <w:t xml:space="preserve">供应商</w:t>
      </w:r>
      <w:r>
        <w:rPr>
          <w:rFonts w:hint="eastAsia" w:ascii="仿宋" w:hAnsi="仿宋" w:eastAsia="仿宋" w:cs="仿宋"/>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16.1.4因不可抗力事件造成的响应文件的损坏、丢失的，磋商组织方不承担责任。</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 磋商组织方可以通过修改磋商文件自行酌情延长截止时间，在此情况下，推迟提交截止时间将以书面形式通知已获取磋商文件的潜在供应商，并在“江苏政府采购网-苏采云平台</w:t>
      </w:r>
      <w:r>
        <w:rPr>
          <w:rFonts w:hint="eastAsia" w:ascii="仿宋" w:hAnsi="仿宋" w:eastAsia="仿宋" w:cs="仿宋"/>
          <w:color w:val="auto"/>
          <w:spacing w:val="-1"/>
          <w:sz w:val="24"/>
          <w:highlight w:val="none"/>
        </w:rPr>
        <w:t xml:space="preserve">”</w:t>
      </w:r>
      <w:r>
        <w:rPr>
          <w:rFonts w:hint="eastAsia" w:ascii="仿宋" w:hAnsi="仿宋" w:eastAsia="仿宋" w:cs="仿宋"/>
          <w:color w:val="auto"/>
          <w:sz w:val="24"/>
          <w:highlight w:val="none"/>
        </w:rPr>
        <w:t xml:space="preserve">上发布公告。供应商应及时自行登录系统查看相应内容。</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22" w:name="_Toc73365486"/>
      <w:r/>
      <w:bookmarkStart w:id="123" w:name="_Toc142925639"/>
      <w:r/>
      <w:bookmarkStart w:id="124" w:name="_Toc73364873"/>
      <w:r>
        <w:rPr>
          <w:rFonts w:hint="eastAsia" w:ascii="仿宋" w:hAnsi="仿宋" w:eastAsia="仿宋" w:cs="仿宋"/>
          <w:color w:val="auto"/>
          <w:sz w:val="30"/>
          <w:highlight w:val="none"/>
        </w:rPr>
        <w:t xml:space="preserve">17．响应文件的补充、修改或者撤回</w:t>
      </w:r>
      <w:bookmarkEnd w:id="122"/>
      <w:r/>
      <w:bookmarkEnd w:id="123"/>
      <w:r/>
      <w:bookmarkEnd w:id="124"/>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17.1在提交截止时间前，供应商可以对所提交的电子响应文件进行撤回。</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17.3在提交截止时间之后，供应商不得对其响应文件作任何修改或撤回。</w:t>
      </w:r>
      <w:r/>
    </w:p>
    <w:p>
      <w:pPr>
        <w:ind w:firstLine="480"/>
        <w:spacing w:line="360" w:lineRule="auto"/>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17.4在提交截止时间至磋商文件中规定的磋商有效期满之间，供应商不得撤回其响应。</w:t>
      </w:r>
      <w:bookmarkStart w:id="125" w:name="EBaa19a55568844d1d8b24a2a9d2d44487"/>
      <w:r/>
      <w:bookmarkEnd w:id="125"/>
      <w:r/>
      <w:r/>
    </w:p>
    <w:p>
      <w:pPr>
        <w:pStyle w:val="775"/>
        <w:spacing w:before="0" w:after="0" w:line="360" w:lineRule="auto"/>
        <w:shd w:val="clear" w:color="auto"/>
        <w:rPr>
          <w:rFonts w:hint="eastAsia" w:ascii="仿宋" w:hAnsi="仿宋" w:eastAsia="仿宋" w:cs="仿宋"/>
          <w:color w:val="auto"/>
          <w:sz w:val="32"/>
          <w:highlight w:val="none"/>
        </w:rPr>
      </w:pPr>
      <w:r/>
      <w:bookmarkStart w:id="126" w:name="_Toc73365487"/>
      <w:r/>
      <w:bookmarkStart w:id="127" w:name="_Toc142925640"/>
      <w:r/>
      <w:bookmarkStart w:id="128" w:name="_Toc73364874"/>
      <w:r>
        <w:rPr>
          <w:rFonts w:hint="eastAsia" w:ascii="仿宋" w:hAnsi="仿宋" w:eastAsia="仿宋" w:cs="仿宋"/>
          <w:color w:val="auto"/>
          <w:sz w:val="32"/>
          <w:highlight w:val="none"/>
        </w:rPr>
        <w:t xml:space="preserve">四、磋商与评审</w:t>
      </w:r>
      <w:bookmarkEnd w:id="126"/>
      <w:r/>
      <w:bookmarkEnd w:id="127"/>
      <w:r/>
      <w:bookmarkEnd w:id="128"/>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29" w:name="_Toc142925641"/>
      <w:r/>
      <w:bookmarkStart w:id="130" w:name="_Toc73365488"/>
      <w:r/>
      <w:bookmarkStart w:id="131" w:name="_Toc73364875"/>
      <w:r>
        <w:rPr>
          <w:rFonts w:hint="eastAsia" w:ascii="仿宋" w:hAnsi="仿宋" w:eastAsia="仿宋" w:cs="仿宋"/>
          <w:color w:val="auto"/>
          <w:sz w:val="30"/>
          <w:highlight w:val="none"/>
        </w:rPr>
        <w:t xml:space="preserve">18．磋商</w:t>
      </w:r>
      <w:bookmarkEnd w:id="129"/>
      <w:r/>
      <w:bookmarkEnd w:id="130"/>
      <w:r/>
      <w:bookmarkEnd w:id="131"/>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18.1供应商应当在磋商前做好充分准备，携带CA数字证书准时参加磋商。</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w:t>
      </w:r>
      <w:r>
        <w:rPr>
          <w:rFonts w:hint="eastAsia" w:ascii="仿宋" w:hAnsi="仿宋" w:eastAsia="仿宋" w:cs="仿宋"/>
          <w:b/>
          <w:color w:val="auto"/>
          <w:sz w:val="24"/>
          <w:highlight w:val="none"/>
        </w:rPr>
        <w:t xml:space="preserve">供应商不足3家，不进入解密程序。</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w:t>
      </w:r>
      <w:r>
        <w:rPr>
          <w:rFonts w:hint="eastAsia" w:ascii="仿宋" w:hAnsi="仿宋" w:eastAsia="仿宋" w:cs="仿宋"/>
          <w:b/>
          <w:color w:val="auto"/>
          <w:sz w:val="24"/>
          <w:highlight w:val="none"/>
        </w:rPr>
        <w:t xml:space="preserve">磋商时，磋商组织方将在系统内公布供应商名单，发出解密的指令，供应商自行实施解密，限定在主持人发布解密指令后</w:t>
      </w:r>
      <w:bookmarkStart w:id="132" w:name="EBaf33e81756a940b58c69ffadb3ca2432"/>
      <w:r>
        <w:rPr>
          <w:rFonts w:hint="eastAsia" w:ascii="仿宋" w:hAnsi="仿宋" w:eastAsia="仿宋" w:cs="仿宋"/>
          <w:b/>
          <w:color w:val="auto"/>
          <w:sz w:val="24"/>
          <w:highlight w:val="none"/>
        </w:rPr>
        <w:t xml:space="preserve">30分钟</w:t>
      </w:r>
      <w:bookmarkEnd w:id="132"/>
      <w:r>
        <w:rPr>
          <w:rFonts w:hint="eastAsia" w:ascii="仿宋" w:hAnsi="仿宋" w:eastAsia="仿宋" w:cs="仿宋"/>
          <w:b/>
          <w:color w:val="auto"/>
          <w:sz w:val="24"/>
          <w:highlight w:val="none"/>
        </w:rPr>
        <w:t xml:space="preserve">内完成。解密时，供应商必须使用与制作响应文件时同一数字认证证书对响应文件进行解密，否则解密将会失败。</w:t>
      </w:r>
      <w:r/>
    </w:p>
    <w:p>
      <w:pPr>
        <w:ind w:firstLine="482"/>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18.4</w:t>
      </w:r>
      <w:r>
        <w:rPr>
          <w:rFonts w:hint="eastAsia" w:ascii="仿宋" w:hAnsi="仿宋" w:eastAsia="仿宋" w:cs="仿宋"/>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仿宋" w:hAnsi="仿宋" w:eastAsia="仿宋" w:cs="仿宋"/>
          <w:b/>
          <w:color w:val="auto"/>
          <w:sz w:val="24"/>
          <w:highlight w:val="none"/>
        </w:rPr>
        <w:t xml:space="preserve">若解密成功的供应商不足三家，不进入后续程序。</w:t>
      </w:r>
      <w:r/>
    </w:p>
    <w:p>
      <w:pPr>
        <w:ind w:firstLine="480"/>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18.5本项目在限定的解密时间内，只要有任一家供应商解密成功，即视为电子交易平台运行无故障。</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18.6供应商须配合磋商工作，否则自行承担后果。</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33" w:name="_Toc73365489"/>
      <w:r/>
      <w:bookmarkStart w:id="134" w:name="_Toc73364876"/>
      <w:r/>
      <w:bookmarkStart w:id="135" w:name="_Toc142925642"/>
      <w:r>
        <w:rPr>
          <w:rFonts w:hint="eastAsia" w:ascii="仿宋" w:hAnsi="仿宋" w:eastAsia="仿宋" w:cs="仿宋"/>
          <w:color w:val="auto"/>
          <w:sz w:val="30"/>
          <w:highlight w:val="none"/>
        </w:rPr>
        <w:t xml:space="preserve">19．磋商小组组成</w:t>
      </w:r>
      <w:bookmarkEnd w:id="133"/>
      <w:r/>
      <w:bookmarkEnd w:id="134"/>
      <w:r/>
      <w:bookmarkEnd w:id="135"/>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19.1磋商小组将由采购人代表和评审专家组成，成员人数为3人或3人以上单数。</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36" w:name="_Toc73365490"/>
      <w:r/>
      <w:bookmarkStart w:id="137" w:name="_Toc142925643"/>
      <w:r/>
      <w:bookmarkStart w:id="138" w:name="_Toc73364877"/>
      <w:r>
        <w:rPr>
          <w:rFonts w:hint="eastAsia" w:ascii="仿宋" w:hAnsi="仿宋" w:eastAsia="仿宋" w:cs="仿宋"/>
          <w:color w:val="auto"/>
          <w:sz w:val="30"/>
          <w:highlight w:val="none"/>
        </w:rPr>
        <w:t xml:space="preserve">20．无效磋商的情形</w:t>
      </w:r>
      <w:bookmarkEnd w:id="136"/>
      <w:r/>
      <w:bookmarkEnd w:id="137"/>
      <w:r/>
      <w:bookmarkEnd w:id="138"/>
      <w:r/>
      <w:r/>
    </w:p>
    <w:p>
      <w:pPr>
        <w:ind w:left="1"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供应商存在下列情况之一的，其磋商无效：</w:t>
      </w:r>
      <w:r/>
    </w:p>
    <w:p>
      <w:pPr>
        <w:ind w:firstLine="482"/>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（1）响应文件未按磋商文件要求签署、盖章的；</w:t>
      </w:r>
      <w:r/>
    </w:p>
    <w:p>
      <w:pPr>
        <w:ind w:firstLine="482"/>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（2）不具备磋商文件中规定的资格要求的；</w:t>
      </w:r>
      <w:r/>
    </w:p>
    <w:p>
      <w:pPr>
        <w:ind w:left="1" w:firstLine="482"/>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（4）响应文件含有采购人不能接受的附加条件的;</w:t>
      </w:r>
      <w:r/>
    </w:p>
    <w:p>
      <w:pPr>
        <w:ind w:firstLine="482"/>
        <w:spacing w:line="360" w:lineRule="auto"/>
        <w:shd w:val="clear" w:color="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u w:val="single"/>
        </w:rPr>
        <w:t xml:space="preserve">（5）不符合法律、法规和磋商文件规定的其它实质性条款（须经磋商小组半数以上同意）：</w:t>
      </w:r>
      <w:r/>
    </w:p>
    <w:p>
      <w:pPr>
        <w:spacing w:line="360" w:lineRule="auto"/>
        <w:shd w:val="clear" w:color="auto"/>
        <w:rPr>
          <w:rFonts w:hint="eastAsia" w:ascii="仿宋" w:hAnsi="仿宋" w:eastAsia="仿宋" w:cs="仿宋"/>
          <w:color w:val="auto"/>
          <w:sz w:val="24"/>
          <w:highlight w:val="none"/>
        </w:rPr>
      </w:pPr>
      <w:r/>
      <w:bookmarkStart w:id="139" w:name="EB1a6133a9061749489c10f63f90f17fb6"/>
      <w:r>
        <w:rPr>
          <w:rFonts w:hint="eastAsia" w:ascii="仿宋" w:hAnsi="仿宋" w:eastAsia="仿宋" w:cs="仿宋"/>
          <w:color w:val="auto"/>
          <w:sz w:val="24"/>
          <w:highlight w:val="none"/>
        </w:rPr>
        <w:t xml:space="preserve">不同供应商的单位负责人为同一人或者存在直接控股、管理关系的； </w:t>
      </w:r>
      <w:r/>
    </w:p>
    <w:p>
      <w:pPr>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信用中国”网站（www.creditchina.gov.cn）、中国政府采购网（www.ccgp.gov.cn）、“信用江苏”网站（http://www.jscredit.gov.cn）查询结果为失信被执行人名单、重大税收违法案件当事人名单、政府采购严重违法失信行为名单的； </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报价明显低于其他通过符合性审查供应商的报价，供应商不能证明其报价合理性的； </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响应文件中提供了虚假或失实资料的； </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不同供应商的响应文件出现了磋商小组认为不应当雷同的； </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供应商存在串通磋商情形的；</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未在提交截止时间前提交有效加密文件的；由于供应商原因，未在规定时间内对响应文件进行有效解密的；</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项目工期有负偏离的；</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参数部分负偏离程度过大或过多，经评委会认定影响采购人实际使用的；</w:t>
      </w:r>
      <w:bookmarkEnd w:id="139"/>
      <w:r/>
      <w:r/>
    </w:p>
    <w:p>
      <w:pPr>
        <w:ind w:left="47" w:right="87" w:firstLine="489"/>
        <w:jc w:val="left"/>
        <w:spacing w:line="360" w:lineRule="auto"/>
        <w:shd w:val="clear" w:color="auto"/>
        <w:rPr>
          <w:rFonts w:hint="eastAsia"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highlight w:val="none"/>
          <w:lang w:val="zh-CN"/>
        </w:rPr>
        <w:t xml:space="preserve">如是联合体，未提供有效联合体协议的。</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40" w:name="_Toc73364878"/>
      <w:r/>
      <w:bookmarkStart w:id="141" w:name="_Toc142925644"/>
      <w:r/>
      <w:bookmarkStart w:id="142" w:name="_Toc73365491"/>
      <w:r>
        <w:rPr>
          <w:rFonts w:hint="eastAsia" w:ascii="仿宋" w:hAnsi="仿宋" w:eastAsia="仿宋" w:cs="仿宋"/>
          <w:color w:val="auto"/>
          <w:sz w:val="30"/>
          <w:highlight w:val="none"/>
        </w:rPr>
        <w:t xml:space="preserve">21．串通磋商的情形</w:t>
      </w:r>
      <w:bookmarkEnd w:id="140"/>
      <w:r/>
      <w:bookmarkEnd w:id="141"/>
      <w:r/>
      <w:bookmarkEnd w:id="142"/>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有下列情形之一的，视为供应商串通磋商，磋商无效：</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（1）不同供应商的响应文件由同一单位或者个人编制；</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（2）不同供应商委托同一单位或者个人办理磋商事宜；</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（3）不同供应商的响应文件载明的项目管理成员或者联系人员为同一人；</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（4）不同供应商的响应文件异常一致或者磋商报价呈规律性差异；</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（5）不同供应商的响应文件相互混用。</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43" w:name="_Toc73365492"/>
      <w:r/>
      <w:bookmarkStart w:id="144" w:name="_Toc73364879"/>
      <w:r/>
      <w:bookmarkStart w:id="145" w:name="_Toc142925645"/>
      <w:r>
        <w:rPr>
          <w:rFonts w:hint="eastAsia" w:ascii="仿宋" w:hAnsi="仿宋" w:eastAsia="仿宋" w:cs="仿宋"/>
          <w:color w:val="auto"/>
          <w:sz w:val="30"/>
          <w:highlight w:val="none"/>
        </w:rPr>
        <w:t xml:space="preserve">22．响应文件的澄清</w:t>
      </w:r>
      <w:bookmarkEnd w:id="143"/>
      <w:r/>
      <w:bookmarkEnd w:id="144"/>
      <w:r/>
      <w:bookmarkEnd w:id="145"/>
      <w:r/>
      <w:r/>
    </w:p>
    <w:p>
      <w:pPr>
        <w:ind w:firstLine="480"/>
        <w:spacing w:line="360" w:lineRule="auto"/>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bookmarkStart w:id="146" w:name="EB94a3a32d7227475d8336c257a67dafff"/>
      <w:r/>
      <w:bookmarkEnd w:id="146"/>
      <w:r/>
      <w:bookmarkStart w:id="147" w:name="EBf85a74306ad848b688c4855eedfe1953"/>
      <w:r/>
      <w:bookmarkEnd w:id="147"/>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48" w:name="_Toc142925646"/>
      <w:r/>
      <w:bookmarkStart w:id="149" w:name="_Toc73365493"/>
      <w:r/>
      <w:bookmarkStart w:id="150" w:name="_Toc73364880"/>
      <w:r>
        <w:rPr>
          <w:rFonts w:hint="eastAsia" w:ascii="仿宋" w:hAnsi="仿宋" w:eastAsia="仿宋" w:cs="仿宋"/>
          <w:color w:val="auto"/>
          <w:sz w:val="30"/>
          <w:highlight w:val="none"/>
        </w:rPr>
        <w:t xml:space="preserve">23．磋商内容</w:t>
      </w:r>
      <w:bookmarkEnd w:id="148"/>
      <w:r/>
      <w:bookmarkEnd w:id="149"/>
      <w:r/>
      <w:bookmarkEnd w:id="150"/>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23.1磋商小组与符合条件的供应商就磋商文件中的技术、服务要求及合同草案条款等进行磋商。</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shd w:val="clear" w:color="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51" w:name="_Toc142925647"/>
      <w:r/>
      <w:bookmarkStart w:id="152" w:name="_Toc73365494"/>
      <w:r/>
      <w:bookmarkStart w:id="153" w:name="_Toc73364881"/>
      <w:r>
        <w:rPr>
          <w:rFonts w:hint="eastAsia" w:ascii="仿宋" w:hAnsi="仿宋" w:eastAsia="仿宋" w:cs="仿宋"/>
          <w:color w:val="auto"/>
          <w:sz w:val="30"/>
          <w:highlight w:val="none"/>
        </w:rPr>
        <w:t xml:space="preserve">24．最后报价的提交</w:t>
      </w:r>
      <w:bookmarkEnd w:id="151"/>
      <w:r/>
      <w:bookmarkEnd w:id="152"/>
      <w:r/>
      <w:bookmarkEnd w:id="153"/>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54" w:name="_Toc73364882"/>
      <w:r/>
      <w:bookmarkStart w:id="155" w:name="_Toc73365495"/>
      <w:r/>
      <w:bookmarkStart w:id="156" w:name="_Toc142925648"/>
      <w:r>
        <w:rPr>
          <w:rFonts w:hint="eastAsia" w:ascii="仿宋" w:hAnsi="仿宋" w:eastAsia="仿宋" w:cs="仿宋"/>
          <w:color w:val="auto"/>
          <w:sz w:val="30"/>
          <w:highlight w:val="none"/>
        </w:rPr>
        <w:t xml:space="preserve">25．竞争性磋商特殊情况处理</w:t>
      </w:r>
      <w:bookmarkEnd w:id="154"/>
      <w:r/>
      <w:bookmarkEnd w:id="155"/>
      <w:r/>
      <w:bookmarkEnd w:id="156"/>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25.1出现下列情形之一的，应当终止竞争性磋商采购活动，发布项目终止公告并说明原因，重新开展采购活动：</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（1）因情况变化，不再符合规定的竞争性磋商采购方式适用情形的；</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25.3因重大变故，采购任务取消的则该磋商活动取消，采购人应当将取消理由通知所有供应商。</w:t>
      </w:r>
      <w:bookmarkStart w:id="157" w:name="EB553c4f8e1a914e43a9cd4511ce1948ff"/>
      <w:r/>
      <w:bookmarkEnd w:id="157"/>
      <w:r/>
      <w:bookmarkStart w:id="158" w:name="EB21b156bb45c342aeb17b81524d625120"/>
      <w:r/>
      <w:bookmarkEnd w:id="158"/>
      <w:r/>
      <w:r/>
    </w:p>
    <w:p>
      <w:pPr>
        <w:pStyle w:val="775"/>
        <w:spacing w:before="0" w:after="0" w:line="360" w:lineRule="auto"/>
        <w:shd w:val="clear" w:color="auto"/>
        <w:rPr>
          <w:rFonts w:hint="eastAsia" w:ascii="仿宋" w:hAnsi="仿宋" w:eastAsia="仿宋" w:cs="仿宋"/>
          <w:color w:val="auto"/>
          <w:sz w:val="32"/>
          <w:highlight w:val="none"/>
        </w:rPr>
      </w:pPr>
      <w:r/>
      <w:bookmarkStart w:id="159" w:name="_Toc142925649"/>
      <w:r/>
      <w:bookmarkStart w:id="160" w:name="_Toc73365496"/>
      <w:r/>
      <w:bookmarkStart w:id="161" w:name="_Toc73364883"/>
      <w:r>
        <w:rPr>
          <w:rFonts w:hint="eastAsia" w:ascii="仿宋" w:hAnsi="仿宋" w:eastAsia="仿宋" w:cs="仿宋"/>
          <w:color w:val="auto"/>
          <w:sz w:val="32"/>
          <w:highlight w:val="none"/>
        </w:rPr>
        <w:t xml:space="preserve">五、确定成交结果</w:t>
      </w:r>
      <w:bookmarkEnd w:id="159"/>
      <w:r/>
      <w:bookmarkEnd w:id="160"/>
      <w:r/>
      <w:bookmarkEnd w:id="161"/>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62" w:name="_Toc73365497"/>
      <w:r/>
      <w:bookmarkStart w:id="163" w:name="_Toc142925650"/>
      <w:r/>
      <w:bookmarkStart w:id="164" w:name="_Toc73364884"/>
      <w:r>
        <w:rPr>
          <w:rFonts w:hint="eastAsia" w:ascii="仿宋" w:hAnsi="仿宋" w:eastAsia="仿宋" w:cs="仿宋"/>
          <w:color w:val="auto"/>
          <w:sz w:val="30"/>
          <w:highlight w:val="none"/>
        </w:rPr>
        <w:t xml:space="preserve">26．确定成交供应商</w:t>
      </w:r>
      <w:bookmarkEnd w:id="162"/>
      <w:r/>
      <w:bookmarkEnd w:id="163"/>
      <w:r/>
      <w:bookmarkEnd w:id="164"/>
      <w:r/>
      <w:r/>
    </w:p>
    <w:p>
      <w:pPr>
        <w:ind w:firstLine="480"/>
        <w:spacing w:line="360" w:lineRule="auto"/>
        <w:shd w:val="clear" w:color="auto"/>
        <w:rPr>
          <w:rFonts w:hint="eastAsia" w:ascii="仿宋" w:hAnsi="仿宋" w:eastAsia="仿宋" w:cs="仿宋"/>
          <w:color w:val="auto"/>
          <w:sz w:val="24"/>
          <w:highlight w:val="none"/>
        </w:rPr>
      </w:pPr>
      <w:r/>
      <w:bookmarkStart w:id="165" w:name="EB3fe0db93f0354614add263878fac6db4"/>
      <w:r>
        <w:rPr>
          <w:rFonts w:hint="eastAsia" w:ascii="仿宋" w:hAnsi="仿宋" w:eastAsia="仿宋" w:cs="仿宋"/>
          <w:color w:val="auto"/>
          <w:sz w:val="24"/>
          <w:highlight w:val="none"/>
        </w:rPr>
        <w:t xml:space="preserve">26.1磋商组织方应当在评审结束后2个工作日内将评审报告送采购人确认。</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End w:id="165"/>
      <w:r/>
      <w:bookmarkStart w:id="166" w:name="EBb036ac1cc01a455e83e17a6d3673e537"/>
      <w:r/>
      <w:bookmarkEnd w:id="166"/>
      <w:r/>
      <w:bookmarkStart w:id="167" w:name="EBcfb54ffd7eac4226b2539161505dc658"/>
      <w:r/>
      <w:bookmarkEnd w:id="167"/>
      <w:r/>
      <w:bookmarkStart w:id="168" w:name="EB8729e2fc7e9a469e9619e89c5e7d29ec"/>
      <w:r/>
      <w:bookmarkEnd w:id="168"/>
      <w:r/>
      <w:r/>
    </w:p>
    <w:p>
      <w:pPr>
        <w:pStyle w:val="775"/>
        <w:spacing w:before="0" w:after="0" w:line="360" w:lineRule="auto"/>
        <w:shd w:val="clear" w:color="auto"/>
        <w:rPr>
          <w:rFonts w:hint="eastAsia" w:ascii="仿宋" w:hAnsi="仿宋" w:eastAsia="仿宋" w:cs="仿宋"/>
          <w:color w:val="auto"/>
          <w:sz w:val="32"/>
          <w:highlight w:val="none"/>
        </w:rPr>
      </w:pPr>
      <w:r/>
      <w:bookmarkStart w:id="169" w:name="_Toc73364885"/>
      <w:r/>
      <w:bookmarkStart w:id="170" w:name="_Toc73365498"/>
      <w:r/>
      <w:bookmarkStart w:id="171" w:name="_Toc142925651"/>
      <w:r>
        <w:rPr>
          <w:rFonts w:hint="eastAsia" w:ascii="仿宋" w:hAnsi="仿宋" w:eastAsia="仿宋" w:cs="仿宋"/>
          <w:color w:val="auto"/>
          <w:sz w:val="32"/>
          <w:highlight w:val="none"/>
        </w:rPr>
        <w:t xml:space="preserve">六、授予合同</w:t>
      </w:r>
      <w:bookmarkEnd w:id="169"/>
      <w:r/>
      <w:bookmarkEnd w:id="170"/>
      <w:r/>
      <w:bookmarkEnd w:id="171"/>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72" w:name="_Toc142925652"/>
      <w:r/>
      <w:bookmarkStart w:id="173" w:name="_Toc73365499"/>
      <w:r/>
      <w:bookmarkStart w:id="174" w:name="_Toc73364886"/>
      <w:r>
        <w:rPr>
          <w:rFonts w:hint="eastAsia" w:ascii="仿宋" w:hAnsi="仿宋" w:eastAsia="仿宋" w:cs="仿宋"/>
          <w:color w:val="auto"/>
          <w:sz w:val="30"/>
          <w:highlight w:val="none"/>
        </w:rPr>
        <w:t xml:space="preserve">27．磋商组织方接受和拒绝任何或所有响应的权利</w:t>
      </w:r>
      <w:bookmarkEnd w:id="172"/>
      <w:r/>
      <w:bookmarkEnd w:id="173"/>
      <w:r/>
      <w:bookmarkEnd w:id="174"/>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27.1为维护国家和社会公共利益，磋商组织方保留在授标之前任何时候接受或拒绝任何供应商成交的权利，且对受影响的供应商不承担任何责任。</w:t>
      </w:r>
      <w:r/>
    </w:p>
    <w:p>
      <w:pPr>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27.2因不可抗力或成交供应商不能履约等情形，磋商组织方保留与其他候选供应商签订合同的权利。</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75" w:name="_Toc73364887"/>
      <w:r/>
      <w:bookmarkStart w:id="176" w:name="_Toc142925653"/>
      <w:r/>
      <w:bookmarkStart w:id="177" w:name="_Toc73365500"/>
      <w:r>
        <w:rPr>
          <w:rFonts w:hint="eastAsia" w:ascii="仿宋" w:hAnsi="仿宋" w:eastAsia="仿宋" w:cs="仿宋"/>
          <w:color w:val="auto"/>
          <w:sz w:val="30"/>
          <w:highlight w:val="none"/>
        </w:rPr>
        <w:t xml:space="preserve">28．成交通知书</w:t>
      </w:r>
      <w:bookmarkEnd w:id="175"/>
      <w:r/>
      <w:bookmarkEnd w:id="176"/>
      <w:r/>
      <w:bookmarkEnd w:id="177"/>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28.2成交通知书发出后，采购人不得违法改变成交结果，成交供应商无正当理由不得放弃成交。</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78" w:name="_Toc142925654"/>
      <w:r/>
      <w:bookmarkStart w:id="179" w:name="_Toc73364888"/>
      <w:r/>
      <w:bookmarkStart w:id="180" w:name="_Toc73365501"/>
      <w:r>
        <w:rPr>
          <w:rFonts w:hint="eastAsia" w:ascii="仿宋" w:hAnsi="仿宋" w:eastAsia="仿宋" w:cs="仿宋"/>
          <w:color w:val="auto"/>
          <w:sz w:val="30"/>
          <w:highlight w:val="none"/>
        </w:rPr>
        <w:t xml:space="preserve">29．签订合同</w:t>
      </w:r>
      <w:bookmarkEnd w:id="178"/>
      <w:r/>
      <w:bookmarkEnd w:id="179"/>
      <w:r/>
      <w:bookmarkEnd w:id="180"/>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29.1采购人应当自成交通知书发出之日起</w:t>
      </w:r>
      <w:bookmarkStart w:id="181" w:name="EB51d9b032aa7249af80d45424dadc155d"/>
      <w:r>
        <w:rPr>
          <w:rFonts w:hint="eastAsia" w:ascii="仿宋" w:hAnsi="仿宋" w:eastAsia="仿宋" w:cs="仿宋"/>
          <w:color w:val="auto"/>
          <w:sz w:val="24"/>
          <w:highlight w:val="none"/>
        </w:rPr>
        <w:t xml:space="preserve">15日</w:t>
      </w:r>
      <w:bookmarkEnd w:id="181"/>
      <w:r>
        <w:rPr>
          <w:rFonts w:hint="eastAsia" w:ascii="仿宋" w:hAnsi="仿宋" w:eastAsia="仿宋" w:cs="仿宋"/>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29.5采购人与成交人应当根据合同的约定依法履行合同义务。政府采购合同的履行、违约责任和解决争议的方法等适用</w:t>
      </w:r>
      <w:bookmarkStart w:id="182" w:name="EB756a2e5eaf4942b0afe0c5074e4df86a"/>
      <w:r>
        <w:rPr>
          <w:rFonts w:hint="eastAsia" w:ascii="仿宋" w:hAnsi="仿宋" w:eastAsia="仿宋" w:cs="仿宋"/>
          <w:color w:val="auto"/>
          <w:sz w:val="24"/>
          <w:highlight w:val="none"/>
        </w:rPr>
        <w:t xml:space="preserve">《中华人民共和国民法典》</w:t>
      </w:r>
      <w:bookmarkEnd w:id="182"/>
      <w:r>
        <w:rPr>
          <w:rFonts w:hint="eastAsia" w:ascii="仿宋" w:hAnsi="仿宋" w:eastAsia="仿宋" w:cs="仿宋"/>
          <w:color w:val="auto"/>
          <w:sz w:val="24"/>
          <w:highlight w:val="none"/>
        </w:rPr>
        <w:t xml:space="preserve">。</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83" w:name="_Toc73364889"/>
      <w:r/>
      <w:bookmarkStart w:id="184" w:name="_Toc142925655"/>
      <w:r/>
      <w:bookmarkStart w:id="185" w:name="_Toc73365502"/>
      <w:r>
        <w:rPr>
          <w:rFonts w:hint="eastAsia" w:ascii="仿宋" w:hAnsi="仿宋" w:eastAsia="仿宋" w:cs="仿宋"/>
          <w:color w:val="auto"/>
          <w:sz w:val="30"/>
          <w:highlight w:val="none"/>
        </w:rPr>
        <w:t xml:space="preserve">30．履约保证金</w:t>
      </w:r>
      <w:bookmarkEnd w:id="183"/>
      <w:r/>
      <w:bookmarkEnd w:id="184"/>
      <w:r/>
      <w:bookmarkEnd w:id="185"/>
      <w:r/>
      <w:r/>
    </w:p>
    <w:p>
      <w:pPr>
        <w:ind w:firstLine="480"/>
        <w:spacing w:line="360" w:lineRule="auto"/>
        <w:shd w:val="clear" w:color="auto"/>
        <w:rPr>
          <w:rFonts w:hint="eastAsia" w:ascii="仿宋" w:hAnsi="仿宋" w:eastAsia="仿宋" w:cs="仿宋"/>
          <w:color w:val="auto"/>
          <w:sz w:val="24"/>
          <w:highlight w:val="none"/>
        </w:rPr>
      </w:pPr>
      <w:r/>
      <w:bookmarkStart w:id="186" w:name="EBe8f62d6faec644a29fa2d130dece78bb"/>
      <w:r/>
      <w:bookmarkEnd w:id="186"/>
      <w:r>
        <w:rPr>
          <w:rFonts w:hint="eastAsia" w:ascii="仿宋" w:hAnsi="仿宋" w:eastAsia="仿宋" w:cs="仿宋"/>
          <w:color w:val="auto"/>
          <w:sz w:val="24"/>
          <w:highlight w:val="none"/>
        </w:rPr>
        <w:t xml:space="preserve">30.1 ☑本项目不收取履约保证金。</w:t>
      </w:r>
      <w:r/>
    </w:p>
    <w:p>
      <w:pPr>
        <w:ind w:firstLine="9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75"/>
        <w:spacing w:before="0" w:after="0" w:line="360" w:lineRule="auto"/>
        <w:shd w:val="clear" w:color="auto"/>
        <w:rPr>
          <w:rFonts w:hint="eastAsia" w:ascii="仿宋" w:hAnsi="仿宋" w:eastAsia="仿宋" w:cs="仿宋"/>
          <w:color w:val="auto"/>
          <w:sz w:val="32"/>
          <w:highlight w:val="none"/>
        </w:rPr>
      </w:pPr>
      <w:r/>
      <w:bookmarkStart w:id="187" w:name="_Toc73364890"/>
      <w:r/>
      <w:bookmarkStart w:id="188" w:name="_Toc142925656"/>
      <w:r/>
      <w:bookmarkStart w:id="189" w:name="_Toc73365503"/>
      <w:r>
        <w:rPr>
          <w:rFonts w:hint="eastAsia" w:ascii="仿宋" w:hAnsi="仿宋" w:eastAsia="仿宋" w:cs="仿宋"/>
          <w:color w:val="auto"/>
          <w:sz w:val="32"/>
          <w:highlight w:val="none"/>
        </w:rPr>
        <w:t xml:space="preserve">七、询问、质疑、投诉</w:t>
      </w:r>
      <w:bookmarkEnd w:id="187"/>
      <w:r/>
      <w:bookmarkEnd w:id="188"/>
      <w:r/>
      <w:bookmarkEnd w:id="189"/>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90" w:name="_Toc73365504"/>
      <w:r/>
      <w:bookmarkStart w:id="191" w:name="_Toc73364891"/>
      <w:r/>
      <w:bookmarkStart w:id="192" w:name="_Toc142925657"/>
      <w:r>
        <w:rPr>
          <w:rFonts w:hint="eastAsia" w:ascii="仿宋" w:hAnsi="仿宋" w:eastAsia="仿宋" w:cs="仿宋"/>
          <w:color w:val="auto"/>
          <w:sz w:val="30"/>
          <w:highlight w:val="none"/>
        </w:rPr>
        <w:t xml:space="preserve">31．询问</w:t>
      </w:r>
      <w:bookmarkEnd w:id="190"/>
      <w:r/>
      <w:bookmarkEnd w:id="191"/>
      <w:r/>
      <w:bookmarkEnd w:id="192"/>
      <w:r/>
      <w:r/>
    </w:p>
    <w:p>
      <w:pPr>
        <w:ind w:firstLine="60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93" w:name="_Toc142925658"/>
      <w:r/>
      <w:bookmarkStart w:id="194" w:name="_Toc73365505"/>
      <w:r/>
      <w:bookmarkStart w:id="195" w:name="_Toc73364892"/>
      <w:r>
        <w:rPr>
          <w:rFonts w:hint="eastAsia" w:ascii="仿宋" w:hAnsi="仿宋" w:eastAsia="仿宋" w:cs="仿宋"/>
          <w:color w:val="auto"/>
          <w:sz w:val="30"/>
          <w:highlight w:val="none"/>
        </w:rPr>
        <w:t xml:space="preserve">32．质疑</w:t>
      </w:r>
      <w:bookmarkEnd w:id="193"/>
      <w:r/>
      <w:bookmarkEnd w:id="194"/>
      <w:r/>
      <w:bookmarkEnd w:id="195"/>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6" w:name="EBe57b2086e1964f6c9a98adb43196769d"/>
      <w:r/>
      <w:bookmarkEnd w:id="196"/>
      <w:r/>
      <w:bookmarkStart w:id="197" w:name="EB14c12432eda944b6b81906a07b050baa"/>
      <w:r/>
      <w:bookmarkEnd w:id="197"/>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以上规定的供应商应知其权益受到损害之日，是指：</w:t>
      </w:r>
      <w:r/>
    </w:p>
    <w:p>
      <w:pPr>
        <w:ind w:firstLine="3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（1）对可以质疑的磋商文件提出质疑的，为收到磋商文件之日或者磋商文件公告期限届满之日；</w:t>
      </w:r>
      <w:r/>
    </w:p>
    <w:p>
      <w:pPr>
        <w:ind w:firstLine="3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ind w:firstLine="3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（3）对成交结果提出质疑的，为结果公告期限届满之日。</w:t>
      </w:r>
      <w:r/>
    </w:p>
    <w:p>
      <w:pPr>
        <w:ind w:firstLine="36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活动正常进行的，属于严重不良行为，磋商组织方将提请财政部门将其列入不良行为记录名单，并依法予以处罚。</w:t>
      </w:r>
      <w:r/>
    </w:p>
    <w:p>
      <w:pPr>
        <w:ind w:firstLine="480"/>
        <w:spacing w:line="360" w:lineRule="auto"/>
        <w:shd w:val="clear" w:color="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32.4质疑流程及注意事项见“镇江市公共资源交易服务平台—政府采购”网站下载中心。</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198" w:name="_Toc142925659"/>
      <w:r/>
      <w:bookmarkStart w:id="199" w:name="_Toc73364893"/>
      <w:r/>
      <w:bookmarkStart w:id="200" w:name="_Toc73365506"/>
      <w:r>
        <w:rPr>
          <w:rFonts w:hint="eastAsia" w:ascii="仿宋" w:hAnsi="仿宋" w:eastAsia="仿宋" w:cs="仿宋"/>
          <w:color w:val="auto"/>
          <w:sz w:val="30"/>
          <w:highlight w:val="none"/>
        </w:rPr>
        <w:t xml:space="preserve">33．投诉</w:t>
      </w:r>
      <w:bookmarkEnd w:id="198"/>
      <w:r/>
      <w:bookmarkEnd w:id="199"/>
      <w:r/>
      <w:bookmarkEnd w:id="200"/>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775"/>
        <w:spacing w:before="0" w:after="0" w:line="360" w:lineRule="auto"/>
        <w:shd w:val="clear" w:color="auto"/>
        <w:rPr>
          <w:rFonts w:hint="eastAsia" w:ascii="仿宋" w:hAnsi="仿宋" w:eastAsia="仿宋" w:cs="仿宋"/>
          <w:color w:val="auto"/>
          <w:sz w:val="32"/>
          <w:highlight w:val="none"/>
        </w:rPr>
      </w:pPr>
      <w:r/>
      <w:bookmarkStart w:id="201" w:name="EB4dbaea8aee50486696f617d1e2d7db77"/>
      <w:r/>
      <w:bookmarkEnd w:id="201"/>
      <w:r/>
      <w:bookmarkStart w:id="202" w:name="_Toc142925660"/>
      <w:r/>
      <w:bookmarkStart w:id="203" w:name="_Toc73365507"/>
      <w:r/>
      <w:bookmarkStart w:id="204" w:name="_Toc73364894"/>
      <w:r>
        <w:rPr>
          <w:rFonts w:hint="eastAsia" w:ascii="仿宋" w:hAnsi="仿宋" w:eastAsia="仿宋" w:cs="仿宋"/>
          <w:color w:val="auto"/>
          <w:sz w:val="32"/>
          <w:highlight w:val="none"/>
        </w:rPr>
        <w:t xml:space="preserve">八、诚实信用和解释权</w:t>
      </w:r>
      <w:bookmarkEnd w:id="202"/>
      <w:r/>
      <w:bookmarkEnd w:id="203"/>
      <w:r/>
      <w:bookmarkEnd w:id="204"/>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205" w:name="_Toc73364895"/>
      <w:r/>
      <w:bookmarkStart w:id="206" w:name="_Toc142925661"/>
      <w:r/>
      <w:bookmarkStart w:id="207" w:name="_Toc73365508"/>
      <w:r>
        <w:rPr>
          <w:rFonts w:hint="eastAsia" w:ascii="仿宋" w:hAnsi="仿宋" w:eastAsia="仿宋" w:cs="仿宋"/>
          <w:color w:val="auto"/>
          <w:sz w:val="30"/>
          <w:highlight w:val="none"/>
        </w:rPr>
        <w:t xml:space="preserve">34．诚实信用</w:t>
      </w:r>
      <w:bookmarkEnd w:id="205"/>
      <w:r/>
      <w:bookmarkEnd w:id="206"/>
      <w:r/>
      <w:bookmarkEnd w:id="207"/>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34.1供应商之间不得相互串通磋商报价，不得妨碍其他供应商的公平竞争，不得损害采购人和其他供应商的合法权益。</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34.3供应商不得虚假承诺，否则，按照提供虚假材料谋取中标/成交处理。</w:t>
      </w:r>
      <w:r/>
    </w:p>
    <w:p>
      <w:pPr>
        <w:ind w:left="2"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34.4供应商应自觉遵守磋商纪律，扰乱磋商现场秩序的，属于失信行为，根据《江苏省政府采购供应商监督管理暂行办法》，失信行为将被记入供应商诚信档案。</w:t>
      </w:r>
      <w:r/>
    </w:p>
    <w:p>
      <w:pPr>
        <w:ind w:left="2"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仿宋" w:hAnsi="仿宋" w:eastAsia="仿宋" w:cs="仿宋"/>
          <w:color w:val="auto"/>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208" w:name="_Toc142925662"/>
      <w:r/>
      <w:bookmarkStart w:id="209" w:name="_Toc73365509"/>
      <w:r/>
      <w:bookmarkStart w:id="210" w:name="_Toc73364896"/>
      <w:r>
        <w:rPr>
          <w:rFonts w:hint="eastAsia" w:ascii="仿宋" w:hAnsi="仿宋" w:eastAsia="仿宋" w:cs="仿宋"/>
          <w:color w:val="auto"/>
          <w:sz w:val="30"/>
          <w:highlight w:val="none"/>
        </w:rPr>
        <w:t xml:space="preserve">35．解释权</w:t>
      </w:r>
      <w:bookmarkEnd w:id="208"/>
      <w:r/>
      <w:bookmarkEnd w:id="209"/>
      <w:r/>
      <w:bookmarkEnd w:id="210"/>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35.1除相关法律、法规规定外，本磋商文件的解释权归江苏初始建设项目管理有限公司所有。</w:t>
      </w:r>
      <w:r/>
    </w:p>
    <w:p>
      <w:pPr>
        <w:pStyle w:val="776"/>
        <w:ind w:firstLine="446"/>
        <w:keepLines w:val="0"/>
        <w:keepNext w:val="0"/>
        <w:spacing w:before="0" w:after="0" w:line="360" w:lineRule="auto"/>
        <w:shd w:val="clear" w:color="auto"/>
        <w:tabs>
          <w:tab w:val="left" w:pos="5191" w:leader="none"/>
        </w:tabs>
        <w:rPr>
          <w:rFonts w:hint="eastAsia" w:ascii="仿宋" w:hAnsi="仿宋" w:eastAsia="仿宋" w:cs="仿宋"/>
          <w:color w:val="auto"/>
          <w:sz w:val="30"/>
          <w:highlight w:val="none"/>
        </w:rPr>
      </w:pPr>
      <w:r/>
      <w:bookmarkStart w:id="211" w:name="_Toc73365510"/>
      <w:r/>
      <w:bookmarkStart w:id="212" w:name="_Toc73364897"/>
      <w:r/>
      <w:bookmarkStart w:id="213" w:name="_Toc142925663"/>
      <w:r>
        <w:rPr>
          <w:rFonts w:hint="eastAsia" w:ascii="仿宋" w:hAnsi="仿宋" w:eastAsia="仿宋" w:cs="仿宋"/>
          <w:color w:val="auto"/>
          <w:sz w:val="30"/>
          <w:highlight w:val="none"/>
        </w:rPr>
        <w:t xml:space="preserve">36．适用法律及约束力</w:t>
      </w:r>
      <w:bookmarkEnd w:id="211"/>
      <w:r/>
      <w:bookmarkEnd w:id="212"/>
      <w:r/>
      <w:bookmarkEnd w:id="213"/>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36.1</w:t>
      </w:r>
      <w:r>
        <w:rPr>
          <w:rFonts w:hint="eastAsia" w:ascii="仿宋" w:hAnsi="仿宋" w:eastAsia="仿宋" w:cs="仿宋"/>
          <w:b/>
          <w:color w:val="auto"/>
          <w:sz w:val="24"/>
          <w:highlight w:val="none"/>
        </w:rPr>
        <w:t xml:space="preserve">供应商一旦获取了本磋商文件并参加磋商，即被认为接受了本磋商文件的规定和约束。</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36.2本次采购及由本次采购产生的合同受中华人民共和国法律制约和保护。</w:t>
      </w:r>
      <w:r/>
    </w:p>
    <w:p>
      <w:pPr>
        <w:pStyle w:val="775"/>
        <w:spacing w:before="0" w:after="0" w:line="360" w:lineRule="auto"/>
        <w:shd w:val="clear" w:color="auto"/>
        <w:rPr>
          <w:rFonts w:hint="eastAsia" w:ascii="仿宋" w:hAnsi="仿宋" w:eastAsia="仿宋" w:cs="仿宋"/>
          <w:color w:val="auto"/>
          <w:sz w:val="32"/>
          <w:highlight w:val="none"/>
        </w:rPr>
      </w:pPr>
      <w:r/>
      <w:bookmarkStart w:id="214" w:name="_Toc141960470"/>
      <w:r/>
      <w:bookmarkStart w:id="215" w:name="_Toc142925664"/>
      <w:r>
        <w:rPr>
          <w:rFonts w:hint="eastAsia" w:ascii="仿宋" w:hAnsi="仿宋" w:eastAsia="仿宋" w:cs="仿宋"/>
          <w:color w:val="auto"/>
          <w:sz w:val="32"/>
          <w:highlight w:val="none"/>
        </w:rPr>
        <w:t xml:space="preserve">九、苏采云操作其他补充事项</w:t>
      </w:r>
      <w:bookmarkEnd w:id="214"/>
      <w:r/>
      <w:bookmarkEnd w:id="215"/>
      <w:r/>
      <w:r/>
    </w:p>
    <w:p>
      <w:pPr>
        <w:pStyle w:val="1008"/>
        <w:shd w:val="clear" w:color="auto"/>
        <w:rPr>
          <w:rFonts w:hint="eastAsia" w:ascii="仿宋" w:hAnsi="仿宋" w:eastAsia="仿宋" w:cs="仿宋"/>
          <w:color w:val="auto"/>
          <w:highlight w:val="none"/>
        </w:rPr>
      </w:pPr>
      <w:r/>
      <w:bookmarkStart w:id="216" w:name="_Toc142925665"/>
      <w:r>
        <w:rPr>
          <w:rFonts w:hint="eastAsia" w:ascii="仿宋" w:hAnsi="仿宋" w:eastAsia="仿宋" w:cs="仿宋"/>
          <w:b/>
          <w:bCs/>
          <w:color w:val="auto"/>
          <w:sz w:val="30"/>
          <w:szCs w:val="32"/>
          <w:highlight w:val="none"/>
        </w:rPr>
        <w:t xml:space="preserve">37.苏采云系统要求</w:t>
      </w:r>
      <w:bookmarkEnd w:id="216"/>
      <w:r/>
      <w:r/>
    </w:p>
    <w:p>
      <w:pPr>
        <w:ind w:firstLine="480"/>
        <w:spacing w:line="360" w:lineRule="auto"/>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37.1 本次采购采用“政府采购管理交易系统（苏采云）”，获取采购文件、提交响应文件、参加磋商、评审和成交结果发布全程电子化，响应文件开启方式为不见面开启。供应商应当按照《政府采购管理交易系统（苏采云）供应商操作手册》参加磋商活动。如供应商未按要求操作，由此所产生的风险由供应商自行承担。</w:t>
      </w:r>
      <w:r/>
    </w:p>
    <w:p>
      <w:pPr>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供应商如确定参加磋商，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37.3.1获取采购文件的方式：“苏采云”系统用户注册--CA绑定与登录--网上报名--下载采购文件(后缀名为.kedt”)。</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37.3.2首次响应文件提交：将后缀名为“.kedt”的响应文件导入政府采购客户端工具--制作响应文件--导出加密的响应文件(后缀名为zip) --通过“苏采云”系统上传响应文件。</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shd w:val="clear" w:color="auto"/>
        <w:rPr>
          <w:rFonts w:hint="eastAsia" w:ascii="仿宋" w:hAnsi="仿宋" w:eastAsia="仿宋" w:cs="仿宋"/>
          <w:b/>
          <w:color w:val="auto"/>
          <w:sz w:val="36"/>
          <w:highlight w:val="none"/>
        </w:rPr>
      </w:pPr>
      <w:r>
        <w:rPr>
          <w:rFonts w:hint="eastAsia" w:ascii="仿宋" w:hAnsi="仿宋" w:eastAsia="仿宋" w:cs="仿宋"/>
          <w:color w:val="auto"/>
          <w:sz w:val="24"/>
          <w:highlight w:val="none"/>
        </w:rPr>
        <w:t xml:space="preserve">37.5供应商应及时关注系统供下载的最新版本操作手册，系统操作如有疑问，请及时联系技术支持。</w:t>
      </w:r>
      <w:r/>
    </w:p>
    <w:p>
      <w:pPr>
        <w:shd w:val="clear" w:color="auto"/>
        <w:rPr>
          <w:rFonts w:hint="eastAsia" w:ascii="仿宋" w:hAnsi="仿宋" w:eastAsia="仿宋" w:cs="仿宋"/>
          <w:color w:val="auto"/>
          <w:sz w:val="36"/>
          <w:highlight w:val="none"/>
        </w:rPr>
      </w:pPr>
      <w:r/>
      <w:bookmarkStart w:id="217" w:name="_Toc142925666"/>
      <w:r/>
      <w:bookmarkStart w:id="218" w:name="_Toc73365511"/>
      <w:r/>
      <w:bookmarkStart w:id="219" w:name="_Toc73364898"/>
      <w:r>
        <w:rPr>
          <w:rFonts w:hint="eastAsia" w:ascii="仿宋" w:hAnsi="仿宋" w:eastAsia="仿宋" w:cs="仿宋"/>
          <w:color w:val="auto"/>
          <w:sz w:val="36"/>
          <w:highlight w:val="none"/>
        </w:rPr>
        <w:br w:type="page" w:clear="all"/>
      </w:r>
      <w:r/>
    </w:p>
    <w:p>
      <w:pPr>
        <w:pStyle w:val="774"/>
        <w:jc w:val="center"/>
        <w:spacing w:before="0" w:after="0" w:line="360" w:lineRule="auto"/>
        <w:shd w:val="clear" w:color="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第三部分  合同</w:t>
      </w:r>
      <w:bookmarkEnd w:id="217"/>
      <w:r/>
      <w:bookmarkEnd w:id="218"/>
      <w:r/>
      <w:bookmarkEnd w:id="219"/>
      <w:r/>
      <w:r/>
    </w:p>
    <w:p>
      <w:pPr>
        <w:ind w:firstLine="480"/>
        <w:keepLines w:val="0"/>
        <w:keepNext w:val="0"/>
        <w:pageBreakBefore w:val="0"/>
        <w:spacing w:line="360" w:lineRule="auto"/>
        <w:shd w:val="clear" w:color="auto"/>
        <w:widowControl w:val="off"/>
        <w:rPr>
          <w:rFonts w:hint="default" w:ascii="仿宋" w:hAnsi="仿宋" w:eastAsia="仿宋" w:cs="仿宋"/>
          <w:color w:val="auto"/>
          <w:sz w:val="24"/>
          <w:szCs w:val="24"/>
          <w:highlight w:val="none"/>
          <w:lang w:val="en-US" w:eastAsia="zh-CN"/>
        </w:rPr>
      </w:pPr>
      <w:r/>
      <w:bookmarkStart w:id="220" w:name="_Toc73365512"/>
      <w:r/>
      <w:bookmarkStart w:id="221" w:name="_Toc142925667"/>
      <w:r/>
      <w:bookmarkStart w:id="222" w:name="_Toc73364899"/>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JSZC-321192-CSDL-C2026-0018</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镇江市姚桥镇有机质提升行动项目（社会化服务）</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采购单位（甲方）：</w:t>
      </w:r>
      <w:r>
        <w:rPr>
          <w:rFonts w:hint="eastAsia" w:ascii="仿宋" w:hAnsi="仿宋" w:eastAsia="仿宋" w:cs="仿宋"/>
          <w:color w:val="auto"/>
          <w:sz w:val="24"/>
          <w:szCs w:val="24"/>
          <w:highlight w:val="none"/>
          <w:lang w:eastAsia="zh-CN"/>
        </w:rPr>
        <w:t xml:space="preserve">镇江市姚桥镇人民政府</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（乙方）：</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年  月  日</w:t>
      </w:r>
      <w:r/>
    </w:p>
    <w:p>
      <w:pPr>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友情提醒：采购人与中标、成交</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应当在中标、成交通知书发出之日起十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日内，按照采购文件确定的事项签订政府采购合同。</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采购方：(以下简称甲方)</w:t>
      </w:r>
      <w:r>
        <w:rPr>
          <w:rFonts w:hint="eastAsia" w:ascii="仿宋" w:hAnsi="仿宋" w:eastAsia="仿宋" w:cs="仿宋"/>
          <w:color w:val="auto"/>
          <w:sz w:val="24"/>
          <w:szCs w:val="24"/>
          <w:highlight w:val="none"/>
          <w:lang w:eastAsia="zh-CN"/>
        </w:rPr>
        <w:t xml:space="preserve">镇江市姚桥镇人民政府</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中标供应商：(以下简称乙方）                                </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根据《中华人民共和国政府采购法》《中华人民共和国</w:t>
      </w:r>
      <w:r>
        <w:rPr>
          <w:rFonts w:hint="eastAsia" w:ascii="仿宋" w:hAnsi="仿宋" w:eastAsia="仿宋" w:cs="仿宋"/>
          <w:color w:val="auto"/>
          <w:sz w:val="24"/>
          <w:szCs w:val="24"/>
          <w:highlight w:val="none"/>
          <w:lang w:val="en-US" w:eastAsia="zh-CN"/>
        </w:rPr>
        <w:t xml:space="preserve">民法典</w:t>
      </w:r>
      <w:r>
        <w:rPr>
          <w:rFonts w:hint="eastAsia" w:ascii="仿宋" w:hAnsi="仿宋" w:eastAsia="仿宋" w:cs="仿宋"/>
          <w:color w:val="auto"/>
          <w:sz w:val="24"/>
          <w:szCs w:val="24"/>
          <w:highlight w:val="none"/>
        </w:rPr>
        <w:t xml:space="preserve">》等法律法规的规定，甲、乙双方按照</w:t>
      </w:r>
      <w:r>
        <w:rPr>
          <w:rFonts w:hint="eastAsia" w:ascii="仿宋" w:hAnsi="仿宋" w:eastAsia="仿宋" w:cs="仿宋"/>
          <w:color w:val="auto"/>
          <w:sz w:val="24"/>
          <w:szCs w:val="24"/>
          <w:highlight w:val="none"/>
          <w:lang w:eastAsia="zh-CN"/>
        </w:rPr>
        <w:t xml:space="preserve">镇江市姚桥镇有机质提升行动项目（社会化服务）</w:t>
      </w:r>
      <w:r>
        <w:rPr>
          <w:rFonts w:hint="eastAsia" w:ascii="仿宋" w:hAnsi="仿宋" w:eastAsia="仿宋" w:cs="仿宋"/>
          <w:color w:val="auto"/>
          <w:sz w:val="24"/>
          <w:szCs w:val="24"/>
          <w:highlight w:val="none"/>
        </w:rPr>
        <w:t xml:space="preserve">的磋商结果，双方就此次成交项目的有关事宜，签订本合同书。</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一、合同标的内容</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镇江市姚桥镇有机质提升行动项目（社会化服务）</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服务范围：</w:t>
      </w:r>
      <w:r>
        <w:rPr>
          <w:rFonts w:hint="eastAsia" w:ascii="仿宋" w:hAnsi="仿宋" w:eastAsia="仿宋" w:cs="仿宋"/>
          <w:color w:val="auto"/>
          <w:sz w:val="24"/>
          <w:szCs w:val="24"/>
          <w:highlight w:val="none"/>
          <w:lang w:eastAsia="zh-CN"/>
        </w:rPr>
        <w:t xml:space="preserve">镇江市姚桥镇红光村、华山村、石桥村、润果北片区、润果南片区、仲宝村、迎北村、迎滨村、茂华村、兴隆村、儒里村、白马湖片区、大东村、伏漕村。</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服务要求：</w:t>
      </w:r>
      <w:r>
        <w:rPr>
          <w:rFonts w:hint="eastAsia" w:ascii="仿宋" w:hAnsi="仿宋" w:eastAsia="仿宋" w:cs="仿宋"/>
          <w:color w:val="auto"/>
          <w:sz w:val="24"/>
          <w:szCs w:val="24"/>
          <w:highlight w:val="none"/>
          <w:lang w:val="en-US" w:eastAsia="zh-CN"/>
        </w:rPr>
        <w:t xml:space="preserve">对</w:t>
      </w:r>
      <w:r>
        <w:rPr>
          <w:rFonts w:hint="eastAsia" w:ascii="仿宋" w:hAnsi="仿宋" w:eastAsia="仿宋" w:cs="仿宋"/>
          <w:color w:val="auto"/>
          <w:sz w:val="24"/>
          <w:szCs w:val="24"/>
          <w:highlight w:val="none"/>
          <w:lang w:eastAsia="zh-CN"/>
        </w:rPr>
        <w:t xml:space="preserve">镇江市姚桥镇红光村、华山村、石桥村、润果北片区、润果南片区、仲宝村、迎北村、迎滨村、茂华村、兴隆村、儒里村、白马湖片区、大东村、伏漕村。</w:t>
      </w:r>
      <w:r>
        <w:rPr>
          <w:rFonts w:hint="eastAsia" w:ascii="仿宋" w:hAnsi="仿宋" w:eastAsia="仿宋" w:cs="仿宋"/>
          <w:color w:val="auto"/>
          <w:sz w:val="24"/>
          <w:szCs w:val="24"/>
          <w:highlight w:val="none"/>
          <w:lang w:val="en-US" w:eastAsia="zh-CN"/>
        </w:rPr>
        <w:t xml:space="preserve">范围内的农田进行有机肥撒施服务</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服务时间：</w:t>
      </w:r>
      <w:r>
        <w:rPr>
          <w:rFonts w:hint="eastAsia" w:ascii="仿宋" w:hAnsi="仿宋" w:eastAsia="仿宋" w:cs="仿宋"/>
          <w:color w:val="auto"/>
          <w:sz w:val="24"/>
          <w:szCs w:val="24"/>
          <w:highlight w:val="none"/>
          <w:lang w:val="en-US" w:eastAsia="zh-CN"/>
        </w:rPr>
        <w:t xml:space="preserve">180</w:t>
      </w:r>
      <w:r>
        <w:rPr>
          <w:rFonts w:hint="eastAsia" w:ascii="仿宋" w:hAnsi="仿宋" w:eastAsia="仿宋" w:cs="仿宋"/>
          <w:color w:val="auto"/>
          <w:sz w:val="24"/>
          <w:szCs w:val="24"/>
          <w:highlight w:val="none"/>
        </w:rPr>
        <w:t xml:space="preserve">日历天。</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服务标准：详见磋商文件</w:t>
      </w:r>
      <w:r/>
    </w:p>
    <w:p>
      <w:pPr>
        <w:ind w:firstLine="480"/>
        <w:keepLines w:val="0"/>
        <w:keepNext w:val="0"/>
        <w:pageBreakBefore w:val="0"/>
        <w:spacing w:line="360" w:lineRule="auto"/>
        <w:shd w:val="clear" w:color="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二、合同</w:t>
      </w:r>
      <w:r>
        <w:rPr>
          <w:rFonts w:hint="eastAsia" w:ascii="仿宋" w:hAnsi="仿宋" w:eastAsia="仿宋" w:cs="仿宋"/>
          <w:color w:val="auto"/>
          <w:sz w:val="24"/>
          <w:szCs w:val="24"/>
          <w:highlight w:val="none"/>
          <w:lang w:val="en-US" w:eastAsia="zh-CN"/>
        </w:rPr>
        <w:t xml:space="preserve">服务期</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   月    日</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年   月     日，服务期限</w:t>
      </w:r>
      <w:r>
        <w:rPr>
          <w:rFonts w:hint="eastAsia" w:ascii="仿宋" w:hAnsi="仿宋" w:eastAsia="仿宋" w:cs="仿宋"/>
          <w:color w:val="auto"/>
          <w:sz w:val="24"/>
          <w:szCs w:val="24"/>
          <w:highlight w:val="none"/>
          <w:lang w:val="en-US" w:eastAsia="zh-CN"/>
        </w:rPr>
        <w:t xml:space="preserve">180</w:t>
      </w:r>
      <w:r>
        <w:rPr>
          <w:rFonts w:hint="eastAsia" w:ascii="仿宋" w:hAnsi="仿宋" w:eastAsia="仿宋" w:cs="仿宋"/>
          <w:color w:val="auto"/>
          <w:sz w:val="24"/>
          <w:szCs w:val="24"/>
          <w:highlight w:val="none"/>
        </w:rPr>
        <w:t xml:space="preserve">日历天。</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三、合同价款与支付方式</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1.合同价款</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合同总价款：¥       元 (大写：              。)</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2.支付方式</w:t>
      </w:r>
      <w:r/>
    </w:p>
    <w:p>
      <w:pPr>
        <w:pStyle w:val="710"/>
        <w:ind w:left="55" w:right="80" w:firstLine="465"/>
        <w:keepLines w:val="0"/>
        <w:keepNext w:val="0"/>
        <w:pageBreakBefore w:val="0"/>
        <w:spacing w:line="360" w:lineRule="auto"/>
        <w:shd w:val="clear" w:color="auto"/>
        <w:widowControl w:val="off"/>
        <w:rPr>
          <w:rFonts w:hint="eastAsia" w:ascii="仿宋" w:hAnsi="仿宋" w:eastAsia="仿宋" w:cs="仿宋"/>
          <w:b w:val="0"/>
          <w:bCs w:val="0"/>
          <w:color w:val="auto"/>
          <w:spacing w:val="-5"/>
          <w:sz w:val="24"/>
          <w:szCs w:val="24"/>
          <w:highlight w:val="none"/>
          <w:lang w:eastAsia="zh-CN"/>
        </w:rPr>
      </w:pPr>
      <w:r>
        <w:rPr>
          <w:rFonts w:hint="eastAsia" w:ascii="仿宋" w:hAnsi="仿宋" w:eastAsia="仿宋" w:cs="仿宋"/>
          <w:b w:val="0"/>
          <w:bCs w:val="0"/>
          <w:color w:val="auto"/>
          <w:spacing w:val="-5"/>
          <w:sz w:val="24"/>
          <w:szCs w:val="24"/>
          <w:highlight w:val="none"/>
          <w:lang w:val="en-US" w:eastAsia="zh-CN"/>
        </w:rPr>
        <w:t xml:space="preserve">合同签订且成交单位开具等额发票的10个工作日内付合同价的30%，第二次撒施结束，验收合格后且成交单位开具等额发票的10个工作日内一次性付清。</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3.税费</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四、甲方的责任及义务</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1.甲方需协助乙方顺利开展农业社会化服务工作；</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2.甲方有权对乙方的工作进度、提交成果、工作质量等进行检查，并反馈乙方检查结果，对不合格服务有权责令乙方返工。</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3.甲方有义务及时按合同及项目承诺书付款。</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4.甲方按照</w:t>
      </w:r>
      <w:r>
        <w:rPr>
          <w:rFonts w:hint="eastAsia" w:ascii="仿宋" w:hAnsi="仿宋" w:eastAsia="仿宋" w:cs="仿宋"/>
          <w:color w:val="auto"/>
          <w:sz w:val="24"/>
          <w:szCs w:val="24"/>
          <w:highlight w:val="none"/>
          <w:lang w:eastAsia="zh-CN"/>
        </w:rPr>
        <w:t xml:space="preserve">镇江市姚桥镇有机质提升行动项目（社会化服务）</w:t>
      </w:r>
      <w:r>
        <w:rPr>
          <w:rFonts w:hint="eastAsia" w:ascii="仿宋" w:hAnsi="仿宋" w:eastAsia="仿宋" w:cs="仿宋"/>
          <w:color w:val="auto"/>
          <w:sz w:val="24"/>
          <w:szCs w:val="24"/>
          <w:highlight w:val="none"/>
        </w:rPr>
        <w:t xml:space="preserve">实施方案及合同约定履行其它相关 义务。</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五、乙方的责任和义务</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1.乙方应派出足够的人手开展农业社会化服务工作，确保在规定的时间期限内完成本项目社会化服务任务。</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2.乙方须接受并配合甲方的定期质量检查，按期完成工作任务，按甲方要求提供本项目验收资料。</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3.乙方按照</w:t>
      </w:r>
      <w:r>
        <w:rPr>
          <w:rFonts w:hint="eastAsia" w:ascii="仿宋" w:hAnsi="仿宋" w:eastAsia="仿宋" w:cs="仿宋"/>
          <w:color w:val="auto"/>
          <w:sz w:val="24"/>
          <w:szCs w:val="24"/>
          <w:highlight w:val="none"/>
          <w:lang w:eastAsia="zh-CN"/>
        </w:rPr>
        <w:t xml:space="preserve">镇江市姚桥镇有机质提升行动项目（社会化服务）</w:t>
      </w:r>
      <w:r>
        <w:rPr>
          <w:rFonts w:hint="eastAsia" w:ascii="仿宋" w:hAnsi="仿宋" w:eastAsia="仿宋" w:cs="仿宋"/>
          <w:color w:val="auto"/>
          <w:sz w:val="24"/>
          <w:szCs w:val="24"/>
          <w:highlight w:val="none"/>
        </w:rPr>
        <w:t xml:space="preserve">实施方案、项目承诺书及合同约定</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履行其它相关义务。</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六、争议的解决</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1.本合同执行过程中的未尽事宜，双方应本着实事求是友好协商的态度加以解</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决。双方协商一致的，签订补充协议。补充协议与本合同具有同等效力。</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合同执行过程中双方发生纠纷，可由双方协商解决，若达不成协议，双方同意就本合同产生的纠纷向仲裁委员会申请仲裁。当事人双方在合同约定仲裁机构没有达成书面仲裁协议的，可向甲方所在地的人民法院提起</w:t>
      </w:r>
      <w:r>
        <w:rPr>
          <w:rFonts w:hint="eastAsia" w:ascii="仿宋" w:hAnsi="仿宋" w:eastAsia="仿宋" w:cs="仿宋"/>
          <w:color w:val="auto"/>
          <w:sz w:val="24"/>
          <w:szCs w:val="24"/>
          <w:highlight w:val="none"/>
          <w:lang w:val="en-US" w:eastAsia="zh-CN"/>
        </w:rPr>
        <w:t xml:space="preserve">诉讼</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七、其他</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1.本合同自签订之日起生效。双方约定本合同履约地为</w:t>
      </w:r>
      <w:r>
        <w:rPr>
          <w:rFonts w:hint="eastAsia" w:ascii="仿宋" w:hAnsi="仿宋" w:eastAsia="仿宋" w:cs="仿宋"/>
          <w:color w:val="auto"/>
          <w:sz w:val="24"/>
          <w:szCs w:val="24"/>
          <w:highlight w:val="none"/>
          <w:lang w:val="en-US" w:eastAsia="zh-CN"/>
        </w:rPr>
        <w:t xml:space="preserve">江苏省镇江经开区姚桥镇</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2.本合同应按照中华人民共和国的现行法律进行解释。</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3.本合同一式肆份，甲方、乙方各执贰份。</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甲方签章：                        乙方签章：</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单位地址：                        单位地址：</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法定或授权代表：                  法定或授权代表：</w:t>
      </w:r>
      <w:r/>
    </w:p>
    <w:p>
      <w:pPr>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w:t>
      </w:r>
      <w:r/>
    </w:p>
    <w:p>
      <w:pPr>
        <w:ind w:firstLine="480"/>
        <w:keepLines w:val="0"/>
        <w:keepNext w:val="0"/>
        <w:pageBreakBefore w:val="0"/>
        <w:spacing w:line="360" w:lineRule="auto"/>
        <w:shd w:val="clear" w:color="auto"/>
        <w:widowControl w:val="off"/>
        <w:rPr>
          <w:rFonts w:hint="eastAsia" w:ascii="仿宋" w:hAnsi="仿宋" w:eastAsia="仿宋" w:cs="仿宋"/>
          <w:color w:val="auto"/>
          <w:sz w:val="20"/>
          <w:highlight w:val="none"/>
        </w:rPr>
      </w:pPr>
      <w:r>
        <w:rPr>
          <w:rFonts w:hint="eastAsia" w:ascii="仿宋" w:hAnsi="仿宋" w:eastAsia="仿宋" w:cs="仿宋"/>
          <w:color w:val="auto"/>
          <w:sz w:val="24"/>
          <w:szCs w:val="24"/>
          <w:highlight w:val="none"/>
        </w:rPr>
        <w:t xml:space="preserve">签订日期：                        签订日期：</w:t>
      </w:r>
      <w:r/>
    </w:p>
    <w:p>
      <w:pPr>
        <w:ind w:firstLine="420"/>
        <w:jc w:val="left"/>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hd w:val="clear" w:color="auto"/>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clear="all"/>
      </w:r>
      <w:r/>
    </w:p>
    <w:p>
      <w:pPr>
        <w:pStyle w:val="774"/>
        <w:jc w:val="center"/>
        <w:pageBreakBefore w:val="0"/>
        <w:spacing w:before="0" w:after="0" w:line="360" w:lineRule="auto"/>
        <w:shd w:val="clear" w:color="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第四部分  采购需求</w:t>
      </w:r>
      <w:bookmarkEnd w:id="220"/>
      <w:r/>
      <w:bookmarkEnd w:id="221"/>
      <w:r/>
      <w:bookmarkEnd w:id="222"/>
      <w:r/>
      <w:r/>
    </w:p>
    <w:p>
      <w:pPr>
        <w:ind w:firstLine="482"/>
        <w:keepLines w:val="0"/>
        <w:keepNext w:val="0"/>
        <w:pageBreakBefore w:val="0"/>
        <w:spacing w:line="360" w:lineRule="auto"/>
        <w:shd w:val="clear" w:color="auto"/>
        <w:rPr>
          <w:rFonts w:hint="eastAsia" w:ascii="仿宋" w:hAnsi="仿宋" w:eastAsia="仿宋" w:cs="仿宋"/>
          <w:color w:val="auto"/>
          <w:sz w:val="24"/>
          <w:szCs w:val="24"/>
          <w:highlight w:val="none"/>
          <w:lang w:eastAsia="zh-CN"/>
        </w:rPr>
      </w:pPr>
      <w:r/>
      <w:bookmarkStart w:id="223" w:name="_Toc73364900"/>
      <w:r/>
      <w:bookmarkStart w:id="224" w:name="_Toc142925668"/>
      <w:r/>
      <w:bookmarkStart w:id="225" w:name="_Toc73365513"/>
      <w:r>
        <w:rPr>
          <w:rFonts w:hint="eastAsia" w:ascii="仿宋" w:hAnsi="仿宋" w:eastAsia="仿宋" w:cs="仿宋"/>
          <w:b/>
          <w:color w:val="auto"/>
          <w:sz w:val="24"/>
          <w:szCs w:val="24"/>
          <w:highlight w:val="none"/>
        </w:rPr>
        <w:t xml:space="preserve">一、项目</w:t>
      </w:r>
      <w:r>
        <w:rPr>
          <w:rFonts w:hint="eastAsia" w:ascii="仿宋" w:hAnsi="仿宋" w:eastAsia="仿宋" w:cs="仿宋"/>
          <w:b/>
          <w:color w:val="auto"/>
          <w:sz w:val="24"/>
          <w:szCs w:val="24"/>
          <w:highlight w:val="none"/>
          <w:lang w:val="en-US" w:eastAsia="zh-CN"/>
        </w:rPr>
        <w:t xml:space="preserve">概况</w:t>
      </w:r>
      <w:r/>
    </w:p>
    <w:p>
      <w:pPr>
        <w:pStyle w:val="710"/>
        <w:ind w:left="0" w:right="0"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1、实施主体</w:t>
      </w:r>
      <w:r/>
    </w:p>
    <w:p>
      <w:pPr>
        <w:pStyle w:val="710"/>
        <w:ind w:left="0" w:right="0"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行动项目实施主体为姚桥镇人民政府，负责落实项目各项工作；项目监管主体为镇江经开区社发局和镇江经开区财政局。</w:t>
      </w:r>
      <w:r/>
    </w:p>
    <w:p>
      <w:pPr>
        <w:pStyle w:val="710"/>
        <w:ind w:left="0" w:right="0"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2、实施区域</w:t>
      </w:r>
      <w:r/>
    </w:p>
    <w:p>
      <w:pPr>
        <w:pStyle w:val="710"/>
        <w:ind w:left="0" w:right="0"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本项目拟在姚桥镇高标准农田上实施，面积20000亩。实施区域为姚桥镇近5年已建高标准农田地块内，具体为</w:t>
      </w:r>
      <w:r>
        <w:rPr>
          <w:rFonts w:hint="eastAsia" w:ascii="仿宋" w:hAnsi="仿宋" w:eastAsia="仿宋" w:cs="仿宋"/>
          <w:color w:val="auto"/>
          <w:sz w:val="24"/>
          <w:szCs w:val="24"/>
          <w:highlight w:val="none"/>
          <w:lang w:eastAsia="zh-CN"/>
        </w:rPr>
        <w:t xml:space="preserve">红光村、华山村、石桥村、润果北片区、润果南片区、仲宝村、迎北村、迎滨村、茂华村、兴隆村、儒里村、白马湖片区、大东村、伏漕村。</w:t>
      </w:r>
      <w:r>
        <w:rPr>
          <w:rFonts w:hint="eastAsia" w:ascii="仿宋" w:hAnsi="仿宋" w:eastAsia="仿宋" w:cs="仿宋"/>
          <w:color w:val="auto"/>
          <w:sz w:val="24"/>
          <w:szCs w:val="24"/>
          <w:highlight w:val="none"/>
          <w:lang w:val="en-US" w:eastAsia="zh-CN"/>
        </w:rPr>
        <w:t xml:space="preserve">具体分布如下表：</w:t>
      </w:r>
      <w:r/>
    </w:p>
    <w:tbl>
      <w:tblPr>
        <w:tblStyle w:val="703"/>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642"/>
        <w:gridCol w:w="1436"/>
        <w:gridCol w:w="1934"/>
        <w:gridCol w:w="1755"/>
      </w:tblGrid>
      <w:tr>
        <w:trPr>
          <w:jc w:val="center"/>
          <w:trHeight w:val="600"/>
        </w:trPr>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3"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项目地点</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ind w:left="0" w:right="0" w:firstLine="0"/>
              <w:jc w:val="center"/>
              <w:keepLines w:val="0"/>
              <w:keepNext w:val="0"/>
              <w:pageBreakBefore w:val="0"/>
              <w:spacing w:line="360" w:lineRule="auto"/>
              <w:shd w:val="clear" w:color="auto"/>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撒施内容</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实施面积（亩）</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数量（吨）</w:t>
            </w:r>
            <w:r/>
          </w:p>
        </w:tc>
      </w:tr>
      <w:tr>
        <w:trPr>
          <w:jc w:val="center"/>
          <w:trHeight w:val="1230"/>
        </w:trPr>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63" w:type="pct"/>
            <w:vAlign w:val="center"/>
            <w:textDirection w:val="lrTb"/>
            <w:noWrap w:val="false"/>
          </w:tcPr>
          <w:p>
            <w:pPr>
              <w:ind w:left="0" w:right="0" w:firstLine="0"/>
              <w:jc w:val="center"/>
              <w:keepLines w:val="0"/>
              <w:keepNext w:val="0"/>
              <w:pageBreakBefore w:val="0"/>
              <w:spacing w:before="0" w:after="0" w:line="360" w:lineRule="auto"/>
              <w:shd w:val="clear" w:color="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b w:val="0"/>
                <w:bCs w:val="0"/>
                <w:color w:val="auto"/>
                <w:spacing w:val="-4"/>
                <w:sz w:val="24"/>
                <w:szCs w:val="24"/>
                <w:highlight w:val="none"/>
                <w:lang w:val="en-US" w:eastAsia="zh-CN"/>
              </w:rPr>
              <w:t xml:space="preserve">红光村、华山村、石桥村、润果北片区</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highlight w:val="none"/>
                <w:lang w:val="en-US" w:eastAsia="zh-CN"/>
              </w:rPr>
              <w:t xml:space="preserve">5201.7</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b w:val="0"/>
                <w:bCs w:val="0"/>
                <w:color w:val="auto"/>
                <w:spacing w:val="-4"/>
                <w:sz w:val="24"/>
                <w:szCs w:val="24"/>
                <w:highlight w:val="none"/>
                <w:lang w:val="en-US" w:eastAsia="zh-CN"/>
              </w:rPr>
              <w:t xml:space="preserve">7865.67</w:t>
            </w:r>
            <w:r/>
          </w:p>
        </w:tc>
      </w:tr>
      <w:tr>
        <w:trPr>
          <w:jc w:val="center"/>
          <w:trHeight w:val="1230"/>
        </w:trPr>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63" w:type="pct"/>
            <w:vAlign w:val="center"/>
            <w:textDirection w:val="lrTb"/>
            <w:noWrap w:val="false"/>
          </w:tcPr>
          <w:p>
            <w:pPr>
              <w:ind w:left="0" w:right="0" w:firstLine="0"/>
              <w:jc w:val="center"/>
              <w:keepLines w:val="0"/>
              <w:keepNext w:val="0"/>
              <w:pageBreakBefore w:val="0"/>
              <w:spacing w:before="0" w:after="0" w:line="360" w:lineRule="auto"/>
              <w:shd w:val="clear" w:color="auto"/>
              <w:widowControl/>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lang w:val="en-US" w:eastAsia="zh-CN"/>
              </w:rPr>
              <w:t xml:space="preserve">润果南片区</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rPr>
              <w:t xml:space="preserve">5136.18</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sz w:val="24"/>
                <w:szCs w:val="24"/>
                <w:highlight w:val="none"/>
                <w:u w:val="none"/>
                <w:lang w:val="en-US" w:eastAsia="zh-CN"/>
              </w:rPr>
              <w:t xml:space="preserve">7766.6</w:t>
            </w:r>
            <w:r/>
          </w:p>
        </w:tc>
      </w:tr>
      <w:tr>
        <w:trPr>
          <w:jc w:val="center"/>
          <w:trHeight w:val="1230"/>
        </w:trPr>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firstLine="0"/>
              <w:jc w:val="center"/>
              <w:keepLines w:val="0"/>
              <w:keepNext w:val="0"/>
              <w:pageBreakBefore w:val="0"/>
              <w:spacing w:line="360" w:lineRule="auto"/>
              <w:shd w:val="clear" w:color="auto"/>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3" w:type="pct"/>
            <w:vAlign w:val="center"/>
            <w:textDirection w:val="lrTb"/>
            <w:noWrap w:val="false"/>
          </w:tcPr>
          <w:p>
            <w:pPr>
              <w:ind w:left="0" w:right="0" w:firstLine="0"/>
              <w:jc w:val="center"/>
              <w:keepLines w:val="0"/>
              <w:keepNext w:val="0"/>
              <w:pageBreakBefore w:val="0"/>
              <w:spacing w:before="0" w:after="0" w:line="360" w:lineRule="auto"/>
              <w:shd w:val="clear" w:color="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highlight w:val="none"/>
                <w:lang w:val="en-US" w:eastAsia="zh-CN"/>
              </w:rPr>
              <w:t xml:space="preserve">仲宝村、迎北村、迎滨村、茂华村、兴隆村、儒里村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highlight w:val="none"/>
                <w:lang w:val="en-US" w:eastAsia="zh-CN"/>
              </w:rPr>
              <w:t xml:space="preserve">4949.1</w:t>
            </w:r>
            <w:r/>
          </w:p>
        </w:tc>
        <w:tc>
          <w:tcPr>
            <w:shd w:val="clear" w:color="auto" w:fill="auto"/>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highlight w:val="none"/>
                <w:lang w:val="en-US" w:eastAsia="zh-CN"/>
              </w:rPr>
              <w:t xml:space="preserve">7483.71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3" w:type="pct"/>
            <w:vAlign w:val="center"/>
            <w:textDirection w:val="lrTb"/>
            <w:noWrap w:val="false"/>
          </w:tcPr>
          <w:p>
            <w:pPr>
              <w:ind w:left="0" w:right="0" w:firstLine="0"/>
              <w:jc w:val="center"/>
              <w:keepLines w:val="0"/>
              <w:keepNext w:val="0"/>
              <w:pageBreakBefore w:val="0"/>
              <w:spacing w:before="0" w:after="0" w:line="360" w:lineRule="auto"/>
              <w:shd w:val="clear" w:color="auto"/>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b w:val="0"/>
                <w:bCs w:val="0"/>
                <w:color w:val="auto"/>
                <w:spacing w:val="-4"/>
                <w:sz w:val="24"/>
                <w:szCs w:val="24"/>
                <w:highlight w:val="none"/>
                <w:lang w:val="en-US" w:eastAsia="zh-CN"/>
              </w:rPr>
              <w:t xml:space="preserve">白马湖片区、大东村、伏漕村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b w:val="0"/>
                <w:bCs w:val="0"/>
                <w:color w:val="auto"/>
                <w:spacing w:val="-4"/>
                <w:sz w:val="24"/>
                <w:szCs w:val="24"/>
                <w:highlight w:val="none"/>
                <w:lang w:val="en-US" w:eastAsia="zh-CN"/>
              </w:rPr>
              <w:t xml:space="preserve">4715.2</w:t>
            </w:r>
            <w:r/>
          </w:p>
        </w:tc>
        <w:tc>
          <w:tcPr>
            <w:shd w:val="clear" w:color="auto" w:fill="auto"/>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b w:val="0"/>
                <w:bCs w:val="0"/>
                <w:color w:val="auto"/>
                <w:spacing w:val="-4"/>
                <w:sz w:val="24"/>
                <w:szCs w:val="24"/>
                <w:highlight w:val="none"/>
                <w:lang w:val="en-US" w:eastAsia="zh-CN"/>
              </w:rPr>
              <w:t xml:space="preserve">7130.02</w:t>
            </w:r>
            <w:r/>
          </w:p>
        </w:tc>
      </w:tr>
      <w:tr>
        <w:trPr>
          <w:jc w:val="center"/>
          <w:trHeight w:val="1230"/>
        </w:trPr>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firstLine="0"/>
              <w:jc w:val="center"/>
              <w:keepLines w:val="0"/>
              <w:keepNext w:val="0"/>
              <w:pageBreakBefore w:val="0"/>
              <w:spacing w:line="360" w:lineRule="auto"/>
              <w:shd w:val="clear" w:color="auto"/>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63"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highlight w:val="none"/>
                <w:lang w:val="en-US" w:eastAsia="zh-CN"/>
              </w:rPr>
              <w:t xml:space="preserve">增补项目</w:t>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ind w:left="0" w:right="0" w:firstLine="0"/>
              <w:jc w:val="center"/>
              <w:keepLines w:val="0"/>
              <w:keepNext w:val="0"/>
              <w:pageBreakBefore w:val="0"/>
              <w:spacing w:line="360" w:lineRule="auto"/>
              <w:shd w:val="clear" w:color="auto"/>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商品有机肥</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highlight w:val="none"/>
                <w:lang w:val="en-US" w:eastAsia="zh-CN"/>
              </w:rPr>
              <w:t xml:space="preserve">上述面积</w:t>
            </w:r>
            <w:bookmarkStart w:id="278" w:name="_GoBack"/>
            <w:r/>
            <w:bookmarkEnd w:id="278"/>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right="0" w:firstLine="0"/>
              <w:jc w:val="center"/>
              <w:keepLines w:val="0"/>
              <w:keepNext w:val="0"/>
              <w:pageBreakBefore w:val="0"/>
              <w:spacing w:after="0" w:line="360" w:lineRule="auto"/>
              <w:shd w:val="clear" w:color="auto"/>
              <w:widowControl/>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b w:val="0"/>
                <w:bCs w:val="0"/>
                <w:color w:val="auto"/>
                <w:spacing w:val="-4"/>
                <w:sz w:val="24"/>
                <w:szCs w:val="24"/>
                <w:highlight w:val="none"/>
                <w:lang w:val="en-US" w:eastAsia="zh-CN"/>
              </w:rPr>
              <w:t xml:space="preserve">8200</w:t>
            </w:r>
            <w:r/>
          </w:p>
        </w:tc>
      </w:tr>
    </w:tbl>
    <w:p>
      <w:pPr>
        <w:pStyle w:val="710"/>
        <w:ind w:left="0" w:right="0"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社会化服务</w:t>
      </w:r>
      <w:r/>
    </w:p>
    <w:p>
      <w:pPr>
        <w:pStyle w:val="710"/>
        <w:ind w:left="0" w:right="0"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社会化服务补助用于商品有机肥的</w:t>
      </w:r>
      <w:r>
        <w:rPr>
          <w:rFonts w:hint="eastAsia" w:ascii="仿宋" w:hAnsi="仿宋" w:eastAsia="仿宋" w:cs="仿宋"/>
          <w:color w:val="auto"/>
          <w:sz w:val="24"/>
          <w:szCs w:val="24"/>
          <w:highlight w:val="none"/>
          <w:lang w:val="en-US" w:eastAsia="zh-CN"/>
        </w:rPr>
        <w:t xml:space="preserve">装卸、短途驳运、</w:t>
      </w:r>
      <w:r>
        <w:rPr>
          <w:rFonts w:hint="eastAsia" w:ascii="仿宋" w:hAnsi="仿宋" w:eastAsia="仿宋" w:cs="仿宋"/>
          <w:color w:val="auto"/>
          <w:sz w:val="24"/>
          <w:szCs w:val="24"/>
          <w:highlight w:val="none"/>
        </w:rPr>
        <w:t xml:space="preserve">撒施</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环节补助，可委托社会化服务组织进行撒施，也可有规模种植主体自行撒施。</w:t>
      </w:r>
      <w:r/>
    </w:p>
    <w:p>
      <w:pPr>
        <w:numPr>
          <w:ilvl w:val="0"/>
          <w:numId w:val="0"/>
        </w:numPr>
        <w:ind w:firstLine="482"/>
        <w:keepLines w:val="0"/>
        <w:keepNext w:val="0"/>
        <w:pageBreakBefore w:val="0"/>
        <w:spacing w:line="360" w:lineRule="auto"/>
        <w:shd w:val="clear" w:color="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bidi="ar-SA"/>
        </w:rPr>
        <w:t xml:space="preserve">二、</w:t>
      </w:r>
      <w:r>
        <w:rPr>
          <w:rFonts w:hint="eastAsia" w:ascii="仿宋" w:hAnsi="仿宋" w:eastAsia="仿宋" w:cs="仿宋"/>
          <w:b/>
          <w:color w:val="auto"/>
          <w:sz w:val="24"/>
          <w:szCs w:val="24"/>
          <w:highlight w:val="none"/>
          <w:lang w:val="en-US" w:eastAsia="zh-CN"/>
        </w:rPr>
        <w:t xml:space="preserve">项目</w:t>
      </w:r>
      <w:r>
        <w:rPr>
          <w:rFonts w:hint="eastAsia" w:ascii="仿宋" w:hAnsi="仿宋" w:eastAsia="仿宋" w:cs="仿宋"/>
          <w:b/>
          <w:color w:val="auto"/>
          <w:sz w:val="24"/>
          <w:szCs w:val="24"/>
          <w:highlight w:val="none"/>
        </w:rPr>
        <w:t xml:space="preserve">要求</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一、供应商要求：</w:t>
      </w:r>
      <w:r/>
    </w:p>
    <w:p>
      <w:pPr>
        <w:pStyle w:val="710"/>
        <w:ind w:firstLine="480"/>
        <w:keepLines w:val="0"/>
        <w:keepNext w:val="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供应商需配备不低于5台的撒施机械，配备不低于5台的运输车以及相应具有拖拉机操作证的人员。</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二、供应商需提供下述服务：</w:t>
      </w:r>
      <w:r/>
    </w:p>
    <w:p>
      <w:pPr>
        <w:pStyle w:val="710"/>
        <w:ind w:firstLine="480"/>
        <w:keepLines w:val="0"/>
        <w:keepNext w:val="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专业咨询服务：项目开始前，服务提供方应提供详细的专业咨询服务，包括有机肥的</w:t>
      </w:r>
      <w:r>
        <w:rPr>
          <w:rFonts w:hint="eastAsia" w:ascii="仿宋" w:hAnsi="仿宋" w:eastAsia="仿宋" w:cs="仿宋"/>
          <w:color w:val="auto"/>
          <w:sz w:val="24"/>
          <w:szCs w:val="24"/>
          <w:highlight w:val="none"/>
          <w:lang w:val="en-US" w:eastAsia="zh-CN"/>
        </w:rPr>
        <w:t xml:space="preserve">定点存放</w:t>
      </w:r>
      <w:r>
        <w:rPr>
          <w:rFonts w:hint="default" w:ascii="仿宋" w:hAnsi="仿宋" w:eastAsia="仿宋" w:cs="仿宋"/>
          <w:color w:val="auto"/>
          <w:sz w:val="24"/>
          <w:szCs w:val="24"/>
          <w:highlight w:val="none"/>
          <w:lang w:val="en-US" w:eastAsia="zh-CN"/>
        </w:rPr>
        <w:t xml:space="preserve">建议、施肥量的计算、施肥时间的确定等，以帮助</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了解有机肥的特性及正确的使用方法。</w:t>
      </w:r>
      <w:r/>
    </w:p>
    <w:p>
      <w:pPr>
        <w:pStyle w:val="710"/>
        <w:ind w:firstLine="480"/>
        <w:keepLines w:val="0"/>
        <w:keepNext w:val="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定制化施肥方案：根据不同作物、土壤类型和客户需求，服务提供方应制定定制化的施肥方案。这包括确定适宜的施肥量、施肥时间和施肥方式，以确保有机肥能够充分发挥其效用，促进作物生长和提高产量。</w:t>
      </w:r>
      <w:r/>
    </w:p>
    <w:p>
      <w:pPr>
        <w:pStyle w:val="710"/>
        <w:ind w:firstLine="480"/>
        <w:keepLines w:val="0"/>
        <w:keepNext w:val="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高效播撒服务：服务提供方应使用先进的播撒设备和技术，确保有机肥能够均匀、快速地撒播到农田中。在播撒过程中，应注意控制撒播量，避免浪费和过量施肥对作物和环境造成的不良影响。</w:t>
      </w:r>
      <w:r/>
    </w:p>
    <w:p>
      <w:pPr>
        <w:pStyle w:val="710"/>
        <w:ind w:firstLine="480"/>
        <w:keepLines w:val="0"/>
        <w:keepNext w:val="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现场指导和监督：在有机肥播撒过程中，服务提供方应派遣专业人员到现场进行指导和监督，确保施肥操作符合规范要求。同时，应及时解决客户在施肥过程中遇到的问题和困难，确保施肥工作的顺利进行。</w:t>
      </w:r>
      <w:r/>
    </w:p>
    <w:p>
      <w:pPr>
        <w:pStyle w:val="710"/>
        <w:ind w:firstLine="480"/>
        <w:keepLines w:val="0"/>
        <w:keepNext w:val="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后期跟踪服务：有机肥播撒完成后，服务提供方应提供后期跟踪服务，包括施肥效果的评估、作物生长情况的监测等。通过与客户保持沟通，及时了解施肥效果和作物生长情况，为下一轮施肥提供参考和依据。</w:t>
      </w:r>
      <w:r/>
    </w:p>
    <w:p>
      <w:pPr>
        <w:pStyle w:val="710"/>
        <w:ind w:firstLine="480"/>
        <w:keepLines w:val="0"/>
        <w:keepNext w:val="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环保和可持续发展：服务提供方应遵守环保法规，确保有机肥的生产、运输和使用过程中不对环境造成污染。同时，应积极推广有机肥的使用，倡导绿色农业和可持续发展理念，促进农业生态环境的改善和保护。</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三、播撒步骤</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确定施肥量：根据农作物的需求和土壤的肥力状况，确定适当的有机肥施肥量。</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撒播有机肥：使用撒播机或手工撒播的方式将有机肥均匀撒播在土壤表面。注意控制撒播量，避免过多或过少。</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四、撒施验收</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1、验收标准</w:t>
      </w:r>
      <w:r/>
    </w:p>
    <w:tbl>
      <w:tblPr>
        <w:tblStyle w:val="703"/>
        <w:tblW w:w="4999"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73"/>
        <w:gridCol w:w="5927"/>
        <w:gridCol w:w="1828"/>
      </w:tblGrid>
      <w:tr>
        <w:trPr>
          <w:tblCellSpacing w:w="15" w:type="dxa"/>
          <w:tblHeader/>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验收项</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验收标准</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检验方法</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 撒施量（计量）</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实际撒施总量与合同约定服务量一致；亩均撒施量符合施肥方案要求，单地块偏差不超过允许范围（±5%）</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过磅/称重记录核算，抽点复核</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 撒施均匀度</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田面撒施无明显堆积与漏撒，横向、纵向分布均匀；漏撒、空白区域超出允许比例即为不合格（≤5%）</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现场目视+随机样方抽测称重</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 覆盖完整性</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合同约定地块全部撒施到位，无漏施地块；田块边角、地头按要求覆盖</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现场查看，对照地块清单</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 作业方式</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采用约定撒施机具或方式，机具进出田块未损坏青苗、田埂、道路及灌溉设施</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现场查验</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 施肥时效</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在合同约定工期内完成，满足采购人规定撒施的节点要求</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作业记录、验收签认日期</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 天气与土壤条件</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雨天、大风、土壤过湿等不适宜条件不得强行作业；遇不宜作业情形按约定顺延并留记录</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作业记录、气象佐证</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 现场服务</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作业期间有专业人员在现场指导监督；出现问题及时处置，无因服务不到位造成的返工</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现场签到/服务记录</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 环保要求</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运输、存放、撒施过程无撒漏、无污染周边水体及农田环境；符合环保法规</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现场查看，必要时查环保资料</w:t>
            </w:r>
            <w:r/>
          </w:p>
        </w:tc>
      </w:tr>
      <w:tr>
        <w:trPr>
          <w:tblCellSpacing w:w="15" w:type="dxa"/>
        </w:trPr>
        <w:tc>
          <w:tcPr>
            <w:shd w:val="clear" w:color="auto" w:fill="auto"/>
            <w:tcW w:w="680"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 后期跟踪</w:t>
            </w:r>
            <w:r/>
          </w:p>
        </w:tc>
        <w:tc>
          <w:tcPr>
            <w:shd w:val="clear" w:color="auto" w:fill="auto"/>
            <w:tcW w:w="3265"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按约定提交撒施效果评估、作物生长监测等跟踪服务资料</w:t>
            </w:r>
            <w:r/>
          </w:p>
        </w:tc>
        <w:tc>
          <w:tcPr>
            <w:shd w:val="clear" w:color="auto" w:fill="auto"/>
            <w:tcW w:w="987" w:type="pct"/>
            <w:vAlign w:val="center"/>
            <w:textDirection w:val="lrTb"/>
            <w:noWrap w:val="false"/>
          </w:tcPr>
          <w:p>
            <w:pPr>
              <w:pStyle w:val="710"/>
              <w:ind w:firstLine="0"/>
              <w:jc w:val="center"/>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成果资料查验</w:t>
            </w:r>
            <w:r/>
          </w:p>
        </w:tc>
      </w:tr>
    </w:tbl>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2、验收程序</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自检：服务方作业完成后先行自检，提交自检报告及作业、计量资料；</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报验：服务方向采购人报送验收申请及过程资料；</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现场验收：采购人组织现场查勘、抽点复核撒施量及均匀度；</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计量确认：以过磅/称重记录核定服务量；</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签认：形成验收记录，双方签字确认；不合格项限期整改后复验。</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3、不合格情形处理</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出现下列情形之一的，判定为验收不合格，服务方应无偿返工：</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（1）撒施量偏差超出允许范围，或漏施地块；均匀度、覆盖度不达标，存在明显堆积或大面积空白；</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（2）未按施肥方案或约定方式作业；</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（3）损坏农田设施、青苗且未妥善处理；</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（4）因作业造成环境污染；</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（5）逾期未完成约定节点。</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五、售后服务</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（1）提供7×24小时的技术咨询服务。</w:t>
      </w:r>
      <w:r/>
    </w:p>
    <w:p>
      <w:pPr>
        <w:pStyle w:val="710"/>
        <w:ind w:firstLine="480"/>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（2）敏感时期、重大节假日提供技术人员值守服务。</w:t>
      </w:r>
      <w:r/>
    </w:p>
    <w:p>
      <w:pPr>
        <w:pStyle w:val="710"/>
        <w:ind w:left="41" w:firstLine="480"/>
        <w:keepLines w:val="0"/>
        <w:keepNext w:val="0"/>
        <w:pageBreakBefore w:val="0"/>
        <w:spacing w:line="360" w:lineRule="auto"/>
        <w:shd w:val="clear" w:color="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b w:val="0"/>
          <w:bCs w:val="0"/>
          <w:color w:val="auto"/>
          <w:spacing w:val="-4"/>
          <w:sz w:val="24"/>
          <w:szCs w:val="24"/>
          <w:highlight w:val="none"/>
        </w:rPr>
        <w:t xml:space="preserve">结算方法</w:t>
      </w:r>
      <w:r/>
    </w:p>
    <w:p>
      <w:pPr>
        <w:pStyle w:val="710"/>
        <w:ind w:left="55" w:right="80" w:firstLine="465"/>
        <w:keepLines w:val="0"/>
        <w:keepNext w:val="0"/>
        <w:pageBreakBefore w:val="0"/>
        <w:spacing w:line="360" w:lineRule="auto"/>
        <w:shd w:val="clear" w:color="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lang w:val="en-US" w:eastAsia="zh-CN"/>
        </w:rPr>
        <w:t xml:space="preserve"> </w:t>
      </w:r>
      <w:r>
        <w:rPr>
          <w:rFonts w:hint="eastAsia" w:ascii="仿宋" w:hAnsi="仿宋" w:eastAsia="仿宋" w:cs="仿宋"/>
          <w:b w:val="0"/>
          <w:bCs w:val="0"/>
          <w:color w:val="auto"/>
          <w:spacing w:val="-4"/>
          <w:sz w:val="24"/>
          <w:szCs w:val="24"/>
          <w:highlight w:val="none"/>
        </w:rPr>
        <w:t xml:space="preserve">付款人：</w:t>
      </w:r>
      <w:r>
        <w:rPr>
          <w:rFonts w:hint="eastAsia" w:ascii="仿宋" w:hAnsi="仿宋" w:eastAsia="仿宋" w:cs="仿宋"/>
          <w:b w:val="0"/>
          <w:bCs w:val="0"/>
          <w:color w:val="auto"/>
          <w:spacing w:val="-5"/>
          <w:sz w:val="24"/>
          <w:szCs w:val="24"/>
          <w:highlight w:val="none"/>
          <w:lang w:eastAsia="zh-CN"/>
        </w:rPr>
        <w:t xml:space="preserve">镇江市姚桥镇人民政府</w:t>
      </w:r>
      <w:r>
        <w:rPr>
          <w:rFonts w:hint="eastAsia" w:ascii="仿宋" w:hAnsi="仿宋" w:eastAsia="仿宋" w:cs="仿宋"/>
          <w:b w:val="0"/>
          <w:bCs w:val="0"/>
          <w:color w:val="auto"/>
          <w:spacing w:val="-6"/>
          <w:sz w:val="24"/>
          <w:szCs w:val="24"/>
          <w:highlight w:val="none"/>
        </w:rPr>
        <w:t xml:space="preserve">。</w:t>
      </w:r>
      <w:r/>
    </w:p>
    <w:p>
      <w:pPr>
        <w:pStyle w:val="710"/>
        <w:ind w:left="521"/>
        <w:keepLines w:val="0"/>
        <w:keepNext w:val="0"/>
        <w:pageBreakBefore w:val="0"/>
        <w:spacing w:line="360" w:lineRule="auto"/>
        <w:shd w:val="clear" w:color="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6"/>
          <w:sz w:val="24"/>
          <w:szCs w:val="24"/>
          <w:highlight w:val="none"/>
          <w:lang w:val="en-US" w:eastAsia="zh-CN"/>
        </w:rPr>
        <w:t xml:space="preserve"> </w:t>
      </w:r>
      <w:r>
        <w:rPr>
          <w:rFonts w:hint="eastAsia" w:ascii="仿宋" w:hAnsi="仿宋" w:eastAsia="仿宋" w:cs="仿宋"/>
          <w:b w:val="0"/>
          <w:bCs w:val="0"/>
          <w:color w:val="auto"/>
          <w:spacing w:val="-6"/>
          <w:sz w:val="24"/>
          <w:szCs w:val="24"/>
          <w:highlight w:val="none"/>
        </w:rPr>
        <w:t xml:space="preserve">付款方式：</w:t>
      </w:r>
      <w:r/>
    </w:p>
    <w:p>
      <w:pPr>
        <w:pStyle w:val="710"/>
        <w:ind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合同签订且成交单位开具等额发票的10个工作日内付合同价的30%，第二次撒施结束，验收合格后且成交单位开具等额发票的10个工作日内一次性付清。</w:t>
      </w:r>
      <w:r/>
    </w:p>
    <w:p>
      <w:pPr>
        <w:pStyle w:val="710"/>
        <w:numPr>
          <w:ilvl w:val="0"/>
          <w:numId w:val="0"/>
        </w:numPr>
        <w:ind w:left="41" w:firstLine="464"/>
        <w:pageBreakBefore w:val="0"/>
        <w:spacing w:line="360" w:lineRule="auto"/>
        <w:shd w:val="clear" w:color="auto"/>
        <w:rPr>
          <w:rFonts w:hint="eastAsia" w:ascii="仿宋" w:hAnsi="仿宋" w:eastAsia="仿宋" w:cs="仿宋"/>
          <w:b w:val="0"/>
          <w:bCs w:val="0"/>
          <w:color w:val="auto"/>
          <w:spacing w:val="-4"/>
          <w:sz w:val="24"/>
          <w:szCs w:val="24"/>
          <w:highlight w:val="none"/>
          <w:lang w:val="en-US" w:eastAsia="zh-CN"/>
        </w:rPr>
      </w:pPr>
      <w:r>
        <w:rPr>
          <w:rFonts w:hint="eastAsia" w:ascii="仿宋" w:hAnsi="仿宋" w:eastAsia="仿宋" w:cs="仿宋"/>
          <w:b w:val="0"/>
          <w:bCs w:val="0"/>
          <w:color w:val="auto"/>
          <w:spacing w:val="-4"/>
          <w:sz w:val="24"/>
          <w:szCs w:val="24"/>
          <w:highlight w:val="none"/>
          <w:lang w:val="en-US" w:eastAsia="zh-CN" w:bidi="ar-SA"/>
        </w:rPr>
        <w:t xml:space="preserve">六、</w:t>
      </w:r>
      <w:r>
        <w:rPr>
          <w:rFonts w:hint="eastAsia" w:ascii="仿宋" w:hAnsi="仿宋" w:eastAsia="仿宋" w:cs="仿宋"/>
          <w:b w:val="0"/>
          <w:bCs w:val="0"/>
          <w:color w:val="auto"/>
          <w:spacing w:val="-4"/>
          <w:sz w:val="24"/>
          <w:szCs w:val="24"/>
          <w:highlight w:val="none"/>
          <w:lang w:val="en-US" w:eastAsia="zh-CN"/>
        </w:rPr>
        <w:t xml:space="preserve">其它</w:t>
      </w:r>
      <w:r/>
    </w:p>
    <w:p>
      <w:pPr>
        <w:pStyle w:val="710"/>
        <w:numPr>
          <w:ilvl w:val="0"/>
          <w:numId w:val="0"/>
        </w:numPr>
        <w:ind w:firstLine="48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rPr>
        <w:t xml:space="preserve">供应商具备同类项目经验的为优。</w:t>
      </w:r>
      <w:r/>
    </w:p>
    <w:p>
      <w:pPr>
        <w:pStyle w:val="710"/>
        <w:numPr>
          <w:ilvl w:val="0"/>
          <w:numId w:val="0"/>
        </w:numPr>
        <w:ind w:firstLine="480"/>
        <w:pageBreakBefore w:val="0"/>
        <w:spacing w:line="360" w:lineRule="auto"/>
        <w:shd w:val="clear" w:color="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rPr>
        <w:t xml:space="preserve">供应商需配备充足的设备与作业人员，撒施机作业人员不低于5人，具备拖拉机驾驶证不低于5人。在5台撒施机、5台运输车辆等基础上配备更多的机械、人员以提高撒施效率。</w:t>
      </w:r>
      <w:r/>
    </w:p>
    <w:p>
      <w:pPr>
        <w:pStyle w:val="710"/>
        <w:numPr>
          <w:ilvl w:val="0"/>
          <w:numId w:val="0"/>
        </w:numPr>
        <w:ind w:firstLine="48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zh-CN"/>
        </w:rPr>
        <w:t xml:space="preserve">供应商应编制总体服务方案、服务程序及总体组织部署、编制思路及重难点分析、服务进度计划安排及保证措施、服务质量保证措施及目标、服务实施点位部署、驻场服务方案、售后响应方案，并确保成交后按照该方案开展服务。</w:t>
      </w:r>
      <w:r/>
    </w:p>
    <w:p>
      <w:pPr>
        <w:shd w:val="clear" w:color="auto"/>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clear="all"/>
      </w:r>
      <w:r/>
    </w:p>
    <w:p>
      <w:pPr>
        <w:pStyle w:val="774"/>
        <w:jc w:val="center"/>
        <w:spacing w:before="0" w:after="0" w:line="360" w:lineRule="auto"/>
        <w:shd w:val="clear" w:color="auto"/>
        <w:rPr>
          <w:rFonts w:hint="eastAsia" w:ascii="仿宋" w:hAnsi="仿宋" w:eastAsia="仿宋" w:cs="仿宋"/>
          <w:color w:val="auto"/>
          <w:sz w:val="36"/>
          <w:highlight w:val="none"/>
        </w:rPr>
      </w:pPr>
      <w:r>
        <w:rPr>
          <w:rFonts w:hint="eastAsia" w:ascii="仿宋" w:hAnsi="仿宋" w:eastAsia="仿宋" w:cs="仿宋"/>
          <w:color w:val="auto"/>
          <w:sz w:val="36"/>
          <w:highlight w:val="none"/>
        </w:rPr>
        <w:t xml:space="preserve">第五部分  磋商及评审</w:t>
      </w:r>
      <w:bookmarkEnd w:id="223"/>
      <w:r/>
      <w:bookmarkEnd w:id="224"/>
      <w:r/>
      <w:bookmarkEnd w:id="225"/>
      <w:r/>
      <w:bookmarkStart w:id="226" w:name="EB3e987622cda240fbaa0d00db8ee8a65f"/>
      <w:r/>
      <w:bookmarkEnd w:id="226"/>
      <w:r/>
      <w:bookmarkStart w:id="227" w:name="EB3b5ad14e1e6f44e286f850fc9c9ebf65"/>
      <w:r/>
      <w:bookmarkEnd w:id="227"/>
      <w:r/>
      <w:r/>
    </w:p>
    <w:p>
      <w:pPr>
        <w:pStyle w:val="775"/>
        <w:ind w:firstLine="321"/>
        <w:jc w:val="left"/>
        <w:spacing w:before="0" w:after="0" w:line="360" w:lineRule="auto"/>
        <w:shd w:val="clear" w:color="auto"/>
        <w:rPr>
          <w:rFonts w:hint="eastAsia" w:ascii="仿宋" w:hAnsi="仿宋" w:eastAsia="仿宋" w:cs="仿宋"/>
          <w:color w:val="auto"/>
          <w:sz w:val="32"/>
          <w:highlight w:val="none"/>
        </w:rPr>
      </w:pPr>
      <w:r/>
      <w:bookmarkStart w:id="228" w:name="_Toc142925669"/>
      <w:r/>
      <w:bookmarkStart w:id="229" w:name="_Toc73364901"/>
      <w:r/>
      <w:bookmarkStart w:id="230" w:name="_Toc73365514"/>
      <w:r>
        <w:rPr>
          <w:rFonts w:hint="eastAsia" w:ascii="仿宋" w:hAnsi="仿宋" w:eastAsia="仿宋" w:cs="仿宋"/>
          <w:color w:val="auto"/>
          <w:sz w:val="32"/>
          <w:highlight w:val="none"/>
        </w:rPr>
        <w:t xml:space="preserve">1．磋商小组职责</w:t>
      </w:r>
      <w:bookmarkEnd w:id="228"/>
      <w:r/>
      <w:bookmarkEnd w:id="229"/>
      <w:r/>
      <w:bookmarkEnd w:id="230"/>
      <w:r/>
      <w:r/>
    </w:p>
    <w:p>
      <w:pPr>
        <w:ind w:firstLine="42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1.2按照客观、公正、审慎的原则，根据磋商文件规定的评审程序、评审方法和评审标准进行独立评审。</w:t>
      </w:r>
      <w:r/>
    </w:p>
    <w:p>
      <w:pPr>
        <w:ind w:firstLine="42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1.3起草评审报告并进行签署。</w:t>
      </w:r>
      <w:r/>
    </w:p>
    <w:p>
      <w:pPr>
        <w:ind w:firstLine="42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1.4推荐成交供应商。</w:t>
      </w:r>
      <w:r/>
    </w:p>
    <w:p>
      <w:pPr>
        <w:ind w:firstLine="42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1.5向采购人、采购代理机构、财政部门或者其他监督部门报告非法干预评审工作的行为。</w:t>
      </w:r>
      <w:r/>
    </w:p>
    <w:p>
      <w:pPr>
        <w:ind w:firstLine="420"/>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1.6法律、法规和规章规定的其他职责。</w:t>
      </w:r>
      <w:r/>
    </w:p>
    <w:p>
      <w:pPr>
        <w:pStyle w:val="775"/>
        <w:ind w:firstLine="321"/>
        <w:jc w:val="left"/>
        <w:spacing w:before="0" w:after="0" w:line="360" w:lineRule="auto"/>
        <w:shd w:val="clear" w:color="auto"/>
        <w:rPr>
          <w:rFonts w:hint="eastAsia" w:ascii="仿宋" w:hAnsi="仿宋" w:eastAsia="仿宋" w:cs="仿宋"/>
          <w:color w:val="auto"/>
          <w:sz w:val="32"/>
          <w:highlight w:val="none"/>
        </w:rPr>
      </w:pPr>
      <w:r/>
      <w:bookmarkStart w:id="231" w:name="_Toc73364902"/>
      <w:r/>
      <w:bookmarkStart w:id="232" w:name="_Toc142925670"/>
      <w:r/>
      <w:bookmarkStart w:id="233" w:name="_Toc73365515"/>
      <w:r>
        <w:rPr>
          <w:rFonts w:hint="eastAsia" w:ascii="仿宋" w:hAnsi="仿宋" w:eastAsia="仿宋" w:cs="仿宋"/>
          <w:color w:val="auto"/>
          <w:sz w:val="32"/>
          <w:highlight w:val="none"/>
        </w:rPr>
        <w:t xml:space="preserve">2．磋商及评审程序</w:t>
      </w:r>
      <w:bookmarkEnd w:id="231"/>
      <w:r/>
      <w:bookmarkEnd w:id="232"/>
      <w:r/>
      <w:bookmarkEnd w:id="233"/>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2.1磋商组织方核对采购人授权代表、磋商小组名单身份并签到。采购人授权代表对供应商进行资格审查，未通过资格审查的供应商响应文件不进入后续的符合性审查。</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2.2磋商组织方宣布磋商及评审纪律，磋商小组确认有无回避的情形。</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2.3磋商小组推选组长，负责组织磋商及评审活动，采购人代表不得担任组长。</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2.4磋商小组正式评审前，应当对磋商文件进行熟悉和理解，审查磋商文件。</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2.5磋商小组对首次响应文件进行有效性、完整性和响应程度审查。未通过符合性审查的供应商不得参与磋商，磋商小组应书面告知供应商并说明理由。</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2.7磋商小组应集中与符合要求的单一供应商分别进行磋商，并给予所有参加磋商的供应商平等的磋商机会。</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shd w:val="clear" w:color="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符合磋商文件供应商须知规定情形的，提交最后报价的供应商可以为2家。</w:t>
      </w:r>
      <w:r/>
    </w:p>
    <w:p>
      <w:pPr>
        <w:ind w:firstLine="425"/>
        <w:jc w:val="left"/>
        <w:spacing w:line="360" w:lineRule="auto"/>
        <w:shd w:val="clear" w:color="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2.12推荐成交候选供应商，并出具书面评审报告。</w:t>
      </w:r>
      <w:r/>
    </w:p>
    <w:p>
      <w:pPr>
        <w:pStyle w:val="775"/>
        <w:ind w:firstLine="321"/>
        <w:jc w:val="left"/>
        <w:spacing w:before="0" w:after="0" w:line="360" w:lineRule="auto"/>
        <w:shd w:val="clear" w:color="auto"/>
        <w:rPr>
          <w:rFonts w:hint="eastAsia" w:ascii="仿宋" w:hAnsi="仿宋" w:eastAsia="仿宋" w:cs="仿宋"/>
          <w:color w:val="auto"/>
          <w:sz w:val="32"/>
          <w:highlight w:val="none"/>
        </w:rPr>
      </w:pPr>
      <w:r/>
      <w:bookmarkStart w:id="234" w:name="_Toc73364903"/>
      <w:r/>
      <w:bookmarkStart w:id="235" w:name="_Toc73365516"/>
      <w:r/>
      <w:bookmarkStart w:id="236" w:name="_Toc142925671"/>
      <w:r>
        <w:rPr>
          <w:rFonts w:hint="eastAsia" w:ascii="仿宋" w:hAnsi="仿宋" w:eastAsia="仿宋" w:cs="仿宋"/>
          <w:color w:val="auto"/>
          <w:sz w:val="32"/>
          <w:highlight w:val="none"/>
        </w:rPr>
        <w:t xml:space="preserve">3．供应商资格审查</w:t>
      </w:r>
      <w:bookmarkEnd w:id="234"/>
      <w:r/>
      <w:bookmarkEnd w:id="235"/>
      <w:r/>
      <w:bookmarkEnd w:id="236"/>
      <w:r/>
      <w:r/>
    </w:p>
    <w:p>
      <w:pPr>
        <w:spacing w:line="360" w:lineRule="auto"/>
        <w:shd w:val="clear" w:color="auto"/>
        <w:rPr>
          <w:rFonts w:hint="eastAsia" w:ascii="仿宋" w:hAnsi="仿宋" w:eastAsia="仿宋" w:cs="仿宋"/>
          <w:color w:val="auto"/>
          <w:sz w:val="24"/>
          <w:highlight w:val="none"/>
        </w:rPr>
      </w:pPr>
      <w:r/>
      <w:bookmarkStart w:id="237" w:name="EB62b7e4128ed04384afeeab46ecea92c3"/>
      <w:r/>
      <w:bookmarkEnd w:id="237"/>
      <w:r>
        <w:rPr>
          <w:rFonts w:hint="eastAsia" w:ascii="仿宋" w:hAnsi="仿宋" w:eastAsia="仿宋" w:cs="仿宋"/>
          <w:color w:val="auto"/>
          <w:sz w:val="24"/>
          <w:highlight w:val="none"/>
        </w:rPr>
        <w:t xml:space="preserve">开启结束后，采购人将依法对供应商的资格进行审查。资格审查的内容如下：</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
        <w:gridCol w:w="1447"/>
        <w:gridCol w:w="7143"/>
      </w:tblGrid>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bookmarkStart w:id="238" w:name="EB26dcd70bebb54979b7a4b621de125d2f"/>
            <w:r>
              <w:rPr>
                <w:rFonts w:hint="eastAsia" w:ascii="仿宋" w:hAnsi="仿宋" w:eastAsia="仿宋" w:cs="仿宋"/>
                <w:color w:val="auto"/>
                <w:szCs w:val="21"/>
                <w:highlight w:val="none"/>
              </w:rPr>
              <w:t xml:space="preserve">序号</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审查要素</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审查内容</w:t>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具有独立承担民事责任的能力</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提供法人或者其他组织的营业执照等证明文件扫描件；</w:t>
            </w:r>
            <w:r>
              <w:rPr>
                <w:rFonts w:hint="eastAsia" w:ascii="仿宋" w:hAnsi="仿宋" w:eastAsia="仿宋" w:cs="仿宋"/>
                <w:color w:val="auto"/>
                <w:szCs w:val="21"/>
                <w:highlight w:val="none"/>
                <w:lang w:eastAsia="zh-CN"/>
              </w:rPr>
              <w:t xml:space="preserve">供应商</w:t>
            </w:r>
            <w:r>
              <w:rPr>
                <w:rFonts w:hint="eastAsia" w:ascii="仿宋" w:hAnsi="仿宋" w:eastAsia="仿宋" w:cs="仿宋"/>
                <w:color w:val="auto"/>
                <w:szCs w:val="21"/>
                <w:highlight w:val="none"/>
              </w:rPr>
              <w:t xml:space="preserve">为自然人的，提供其身份证扫描件</w:t>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具有良好的商业信誉和健全的财务会计制度</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w:t>
            </w:r>
            <w:r>
              <w:rPr>
                <w:rFonts w:hint="eastAsia" w:ascii="仿宋" w:hAnsi="仿宋" w:eastAsia="仿宋" w:cs="仿宋"/>
                <w:color w:val="auto"/>
                <w:szCs w:val="21"/>
                <w:highlight w:val="none"/>
                <w:lang w:eastAsia="zh-CN"/>
              </w:rPr>
              <w:t xml:space="preserve">2025年度财务报告</w:t>
            </w:r>
            <w:r>
              <w:rPr>
                <w:rFonts w:hint="eastAsia" w:ascii="仿宋" w:hAnsi="仿宋" w:eastAsia="仿宋" w:cs="仿宋"/>
                <w:color w:val="auto"/>
                <w:szCs w:val="21"/>
                <w:highlight w:val="none"/>
              </w:rPr>
              <w:t xml:space="preserve">，成立不满一年的提供</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财务报告，或银行出具的资信证明，或财政部门认可的政府采购专业担保机构出具的投标担保函等或提供资格承诺函</w:t>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具有履行合同所必需的设备和专业技术能力</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供应商相关信息一览表或提供资格承诺函</w:t>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有依法缴纳税收和社会保障资金的良好记录</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提供参加本次政府采购活动前半年内</w:t>
            </w:r>
            <w:r>
              <w:rPr>
                <w:rFonts w:hint="eastAsia" w:ascii="仿宋" w:hAnsi="仿宋" w:eastAsia="仿宋" w:cs="仿宋"/>
                <w:color w:val="auto"/>
                <w:szCs w:val="21"/>
                <w:highlight w:val="none"/>
                <w:lang w:eastAsia="zh-CN"/>
              </w:rPr>
              <w:t xml:space="preserve">任意一个月</w:t>
            </w:r>
            <w:r>
              <w:rPr>
                <w:rFonts w:hint="eastAsia" w:ascii="仿宋" w:hAnsi="仿宋" w:eastAsia="仿宋" w:cs="仿宋"/>
                <w:color w:val="auto"/>
                <w:szCs w:val="21"/>
                <w:highlight w:val="none"/>
              </w:rPr>
              <w:t xml:space="preserve">依法缴纳税收和社会保险的凭据或提供资格承诺函</w:t>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参加政府采购活动前三年内，在经营活动中没有重大违法记录</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法律、行政法规规定的其他条件</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落实政府采购政策需满足的资格要求</w:t>
            </w:r>
            <w:r/>
          </w:p>
        </w:tc>
        <w:tc>
          <w:tcPr>
            <w:tcW w:w="7620" w:type="dxa"/>
            <w:vAlign w:val="center"/>
            <w:textDirection w:val="lrTb"/>
            <w:noWrap w:val="false"/>
          </w:tcPr>
          <w:p>
            <w:pPr>
              <w:jc w:val="center"/>
              <w:spacing w:line="360" w:lineRule="auto"/>
              <w:shd w:val="clear" w:color="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中小微企业声明函</w:t>
            </w:r>
            <w:r/>
          </w:p>
        </w:tc>
      </w:tr>
      <w:tr>
        <w:trPr/>
        <w:tc>
          <w:tcPr>
            <w:tcW w:w="431"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本项目的特定资格要求</w:t>
            </w:r>
            <w:r/>
          </w:p>
        </w:tc>
        <w:tc>
          <w:tcPr>
            <w:tcW w:w="7620" w:type="dxa"/>
            <w:vAlign w:val="center"/>
            <w:textDirection w:val="lrTb"/>
            <w:noWrap w:val="false"/>
          </w:tcPr>
          <w:p>
            <w:pPr>
              <w:jc w:val="center"/>
              <w:spacing w:line="360" w:lineRule="auto"/>
              <w:shd w:val="clear" w:color="auto"/>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无</w:t>
            </w:r>
            <w:bookmarkEnd w:id="238"/>
            <w:r/>
            <w:r/>
          </w:p>
        </w:tc>
      </w:tr>
    </w:tbl>
    <w:p>
      <w:pPr>
        <w:pStyle w:val="775"/>
        <w:ind w:firstLine="321"/>
        <w:jc w:val="left"/>
        <w:spacing w:before="0" w:after="0" w:line="360" w:lineRule="auto"/>
        <w:shd w:val="clear" w:color="auto"/>
        <w:rPr>
          <w:rFonts w:hint="eastAsia" w:ascii="仿宋" w:hAnsi="仿宋" w:eastAsia="仿宋" w:cs="仿宋"/>
          <w:color w:val="auto"/>
          <w:sz w:val="32"/>
          <w:highlight w:val="none"/>
        </w:rPr>
      </w:pPr>
      <w:r/>
      <w:bookmarkStart w:id="239" w:name="_Toc73365517"/>
      <w:r/>
      <w:bookmarkStart w:id="240" w:name="_Toc73364904"/>
      <w:r/>
      <w:bookmarkStart w:id="241" w:name="_Toc142925672"/>
      <w:r>
        <w:rPr>
          <w:rFonts w:hint="eastAsia" w:ascii="仿宋" w:hAnsi="仿宋" w:eastAsia="仿宋" w:cs="仿宋"/>
          <w:color w:val="auto"/>
          <w:sz w:val="32"/>
          <w:highlight w:val="none"/>
        </w:rPr>
        <w:t xml:space="preserve">4．磋商响应文件的有效性、完整性和响应程度审查</w:t>
      </w:r>
      <w:bookmarkEnd w:id="239"/>
      <w:r/>
      <w:bookmarkEnd w:id="240"/>
      <w:r/>
      <w:bookmarkEnd w:id="241"/>
      <w:r/>
      <w:r/>
    </w:p>
    <w:tbl>
      <w:tblPr>
        <w:tblStyle w:val="7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3"/>
        <w:gridCol w:w="1102"/>
        <w:gridCol w:w="750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bookmarkStart w:id="242" w:name="EB5ff77f62222b43a48ee845bbfe38b65b"/>
            <w:r>
              <w:rPr>
                <w:rFonts w:hint="eastAsia" w:ascii="仿宋" w:hAnsi="仿宋" w:eastAsia="仿宋" w:cs="仿宋"/>
                <w:color w:val="auto"/>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电子响应文件的签署、盖章（承诺函、报价表、法定代表人身份证明书和法人授权委托书）。若有委托代理人，</w:t>
            </w:r>
            <w:r>
              <w:rPr>
                <w:rFonts w:hint="eastAsia" w:ascii="仿宋" w:hAnsi="仿宋" w:eastAsia="仿宋" w:cs="仿宋"/>
                <w:color w:val="auto"/>
                <w:sz w:val="21"/>
                <w:highlight w:val="none"/>
                <w:lang w:val="en-US" w:eastAsia="zh-CN"/>
              </w:rPr>
              <w:t xml:space="preserve">提供</w:t>
            </w:r>
            <w:r>
              <w:rPr>
                <w:rFonts w:hint="eastAsia" w:ascii="仿宋" w:hAnsi="仿宋" w:eastAsia="仿宋" w:cs="仿宋"/>
                <w:color w:val="auto"/>
                <w:sz w:val="21"/>
                <w:highlight w:val="none"/>
              </w:rPr>
              <w:t xml:space="preserve">法人授权委托书</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rPr>
              <w:t xml:space="preserve">。未发现属无效响应的其他情形。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957"/>
              <w:jc w:val="center"/>
              <w:spacing w:line="360" w:lineRule="auto"/>
              <w:shd w:val="clear" w:color="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审查响应文件与磋商文件要求的主要条款、条件和技术规格是否相符，是否存在重大偏离或保留。</w:t>
            </w:r>
            <w:bookmarkEnd w:id="242"/>
            <w:r/>
            <w:r/>
          </w:p>
        </w:tc>
      </w:tr>
    </w:tbl>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75"/>
        <w:ind w:firstLine="321"/>
        <w:jc w:val="left"/>
        <w:spacing w:before="0" w:after="0" w:line="360" w:lineRule="auto"/>
        <w:shd w:val="clear" w:color="auto"/>
        <w:rPr>
          <w:rFonts w:hint="eastAsia" w:ascii="仿宋" w:hAnsi="仿宋" w:eastAsia="仿宋" w:cs="仿宋"/>
          <w:color w:val="auto"/>
          <w:sz w:val="32"/>
          <w:highlight w:val="none"/>
        </w:rPr>
      </w:pPr>
      <w:r/>
      <w:bookmarkStart w:id="243" w:name="_Toc142925673"/>
      <w:r/>
      <w:bookmarkStart w:id="244" w:name="_Toc73365518"/>
      <w:r/>
      <w:bookmarkStart w:id="245" w:name="_Toc73364905"/>
      <w:r>
        <w:rPr>
          <w:rFonts w:hint="eastAsia" w:ascii="仿宋" w:hAnsi="仿宋" w:eastAsia="仿宋" w:cs="仿宋"/>
          <w:color w:val="auto"/>
          <w:sz w:val="32"/>
          <w:highlight w:val="none"/>
        </w:rPr>
        <w:t xml:space="preserve">5．磋商记录</w:t>
      </w:r>
      <w:bookmarkEnd w:id="243"/>
      <w:r/>
      <w:bookmarkEnd w:id="244"/>
      <w:r/>
      <w:bookmarkEnd w:id="245"/>
      <w:r/>
      <w:r/>
    </w:p>
    <w:p>
      <w:pPr>
        <w:ind w:firstLine="480"/>
        <w:spacing w:line="360" w:lineRule="auto"/>
        <w:shd w:val="clear" w:color="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5.1《磋商记录》包括供应商答复或承诺的内容、磋商文件的变动情况及最后报价等。</w:t>
      </w:r>
      <w:r/>
    </w:p>
    <w:p>
      <w:pPr>
        <w:pStyle w:val="775"/>
        <w:ind w:firstLine="321"/>
        <w:jc w:val="left"/>
        <w:spacing w:before="0" w:after="0" w:line="360" w:lineRule="auto"/>
        <w:shd w:val="clear" w:color="auto"/>
        <w:rPr>
          <w:rFonts w:hint="eastAsia" w:ascii="仿宋" w:hAnsi="仿宋" w:eastAsia="仿宋" w:cs="仿宋"/>
          <w:color w:val="auto"/>
          <w:sz w:val="32"/>
          <w:highlight w:val="none"/>
        </w:rPr>
      </w:pPr>
      <w:r/>
      <w:bookmarkStart w:id="246" w:name="_Toc142925674"/>
      <w:r/>
      <w:bookmarkStart w:id="247" w:name="_Toc73364906"/>
      <w:r/>
      <w:bookmarkStart w:id="248" w:name="_Toc73365519"/>
      <w:r>
        <w:rPr>
          <w:rFonts w:hint="eastAsia" w:ascii="仿宋" w:hAnsi="仿宋" w:eastAsia="仿宋" w:cs="仿宋"/>
          <w:color w:val="auto"/>
          <w:sz w:val="32"/>
          <w:highlight w:val="none"/>
        </w:rPr>
        <w:t xml:space="preserve">6．综合评分</w:t>
      </w:r>
      <w:bookmarkEnd w:id="246"/>
      <w:r/>
      <w:bookmarkEnd w:id="247"/>
      <w:r/>
      <w:bookmarkEnd w:id="248"/>
      <w:r/>
      <w:r/>
    </w:p>
    <w:p>
      <w:pPr>
        <w:ind w:firstLine="482"/>
        <w:spacing w:line="360" w:lineRule="auto"/>
        <w:shd w:val="clear" w:color="auto"/>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70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273"/>
        <w:gridCol w:w="2255"/>
        <w:gridCol w:w="2235"/>
        <w:gridCol w:w="2255"/>
      </w:tblGrid>
      <w:tr>
        <w:trPr>
          <w:trHeight w:val="408"/>
        </w:trPr>
        <w:tc>
          <w:tcPr>
            <w:tcW w:w="1260" w:type="pct"/>
            <w:vAlign w:val="bottom"/>
            <w:textDirection w:val="lrTb"/>
            <w:noWrap w:val="false"/>
          </w:tcPr>
          <w:p>
            <w:pPr>
              <w:jc w:val="center"/>
              <w:spacing w:line="360" w:lineRule="auto"/>
              <w:shd w:val="clear" w:color="auto"/>
              <w:widowControl/>
              <w:rPr>
                <w:rFonts w:hint="eastAsia" w:ascii="仿宋" w:hAnsi="仿宋" w:eastAsia="仿宋" w:cs="仿宋"/>
                <w:color w:val="auto"/>
                <w:sz w:val="20"/>
                <w:szCs w:val="20"/>
                <w:highlight w:val="none"/>
              </w:rPr>
            </w:pPr>
            <w:r/>
            <w:bookmarkStart w:id="249" w:name="EBeb38bac6236d407ea758a92f796301c6"/>
            <w:r>
              <w:rPr>
                <w:rFonts w:hint="eastAsia" w:ascii="仿宋" w:hAnsi="仿宋" w:eastAsia="仿宋" w:cs="仿宋"/>
                <w:color w:val="auto"/>
                <w:szCs w:val="21"/>
                <w:highlight w:val="none"/>
              </w:rPr>
              <w:t xml:space="preserve">评分项目</w:t>
            </w:r>
            <w:r/>
          </w:p>
        </w:tc>
        <w:tc>
          <w:tcPr>
            <w:tcW w:w="1250" w:type="pct"/>
            <w:vAlign w:val="bottom"/>
            <w:textDirection w:val="lrTb"/>
            <w:noWrap w:val="false"/>
          </w:tcPr>
          <w:p>
            <w:pPr>
              <w:jc w:val="center"/>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技术评估</w:t>
            </w:r>
            <w:r/>
          </w:p>
        </w:tc>
        <w:tc>
          <w:tcPr>
            <w:tcW w:w="1239" w:type="pct"/>
            <w:vAlign w:val="bottom"/>
            <w:textDirection w:val="lrTb"/>
            <w:noWrap w:val="false"/>
          </w:tcPr>
          <w:p>
            <w:pPr>
              <w:jc w:val="center"/>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商务评估</w:t>
            </w:r>
            <w:r/>
          </w:p>
        </w:tc>
        <w:tc>
          <w:tcPr>
            <w:tcW w:w="1250" w:type="pct"/>
            <w:vAlign w:val="bottom"/>
            <w:textDirection w:val="lrTb"/>
            <w:noWrap w:val="false"/>
          </w:tcPr>
          <w:p>
            <w:pPr>
              <w:jc w:val="center"/>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价格评估</w:t>
            </w:r>
            <w:r/>
          </w:p>
        </w:tc>
      </w:tr>
      <w:tr>
        <w:trPr>
          <w:trHeight w:val="346"/>
        </w:trPr>
        <w:tc>
          <w:tcPr>
            <w:tcW w:w="1260" w:type="pct"/>
            <w:vAlign w:val="bottom"/>
            <w:textDirection w:val="lrTb"/>
            <w:noWrap w:val="false"/>
          </w:tcPr>
          <w:p>
            <w:pPr>
              <w:ind w:right="0"/>
              <w:jc w:val="center"/>
              <w:keepLines w:val="0"/>
              <w:keepNext w:val="0"/>
              <w:pageBreakBefore w:val="0"/>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 xml:space="preserve">分值</w:t>
            </w:r>
            <w:r/>
          </w:p>
        </w:tc>
        <w:tc>
          <w:tcPr>
            <w:tcW w:w="1250" w:type="pct"/>
            <w:vAlign w:val="bottom"/>
            <w:textDirection w:val="lrTb"/>
            <w:noWrap w:val="false"/>
          </w:tcPr>
          <w:p>
            <w:pPr>
              <w:ind w:right="0"/>
              <w:jc w:val="center"/>
              <w:keepLines w:val="0"/>
              <w:keepNext w:val="0"/>
              <w:pageBreakBefore w:val="0"/>
              <w:spacing w:line="360" w:lineRule="auto"/>
              <w:shd w:val="clear" w:color="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45</w:t>
            </w:r>
            <w:r/>
          </w:p>
        </w:tc>
        <w:tc>
          <w:tcPr>
            <w:tcW w:w="1239" w:type="pct"/>
            <w:vAlign w:val="center"/>
            <w:textDirection w:val="lrTb"/>
            <w:noWrap w:val="false"/>
          </w:tcPr>
          <w:p>
            <w:pPr>
              <w:ind w:right="0"/>
              <w:jc w:val="center"/>
              <w:keepLines w:val="0"/>
              <w:keepNext w:val="0"/>
              <w:pageBreakBefore w:val="0"/>
              <w:spacing w:line="360" w:lineRule="auto"/>
              <w:shd w:val="clear" w:color="auto"/>
              <w:widowControl/>
              <w:rPr>
                <w:rFonts w:hint="default" w:ascii="仿宋" w:hAnsi="仿宋" w:eastAsia="仿宋" w:cs="仿宋"/>
                <w:color w:val="auto"/>
                <w:sz w:val="20"/>
                <w:szCs w:val="20"/>
                <w:highlight w:val="none"/>
                <w:lang w:val="en-US"/>
              </w:rPr>
            </w:pPr>
            <w:r>
              <w:rPr>
                <w:rFonts w:hint="eastAsia" w:ascii="仿宋" w:hAnsi="仿宋" w:eastAsia="仿宋" w:cs="仿宋"/>
                <w:color w:val="auto"/>
                <w:szCs w:val="21"/>
                <w:highlight w:val="none"/>
                <w:lang w:val="en-US" w:eastAsia="zh-CN"/>
              </w:rPr>
              <w:t xml:space="preserve">35</w:t>
            </w:r>
            <w:bookmarkEnd w:id="249"/>
            <w:r/>
            <w:r/>
          </w:p>
        </w:tc>
        <w:tc>
          <w:tcPr>
            <w:tcW w:w="1250" w:type="pct"/>
            <w:vAlign w:val="bottom"/>
            <w:textDirection w:val="lrTb"/>
            <w:noWrap w:val="false"/>
          </w:tcPr>
          <w:p>
            <w:pPr>
              <w:ind w:right="0"/>
              <w:jc w:val="center"/>
              <w:keepLines w:val="0"/>
              <w:keepNext w:val="0"/>
              <w:pageBreakBefore w:val="0"/>
              <w:spacing w:line="360" w:lineRule="auto"/>
              <w:shd w:val="clear" w:color="auto"/>
              <w:widowControl/>
              <w:rPr>
                <w:rFonts w:hint="default" w:ascii="仿宋" w:hAnsi="仿宋" w:eastAsia="仿宋" w:cs="仿宋"/>
                <w:color w:val="auto"/>
                <w:sz w:val="20"/>
                <w:szCs w:val="20"/>
                <w:highlight w:val="none"/>
                <w:lang w:val="en-US" w:eastAsia="zh-CN"/>
              </w:rPr>
            </w:pPr>
            <w:r>
              <w:rPr>
                <w:rFonts w:hint="eastAsia" w:ascii="仿宋" w:hAnsi="仿宋" w:eastAsia="仿宋" w:cs="仿宋"/>
                <w:color w:val="auto"/>
                <w:szCs w:val="21"/>
                <w:highlight w:val="none"/>
                <w:lang w:val="en-US" w:eastAsia="zh-CN"/>
              </w:rPr>
              <w:t xml:space="preserve">20</w:t>
            </w:r>
            <w:r/>
          </w:p>
        </w:tc>
      </w:tr>
    </w:tbl>
    <w:p>
      <w:pPr>
        <w:ind w:firstLine="640"/>
        <w:jc w:val="left"/>
        <w:spacing w:line="560" w:lineRule="exact"/>
        <w:shd w:val="clear" w:color="auto"/>
        <w:rPr>
          <w:rFonts w:hint="eastAsia" w:ascii="仿宋" w:hAnsi="仿宋" w:eastAsia="仿宋" w:cs="仿宋"/>
          <w:color w:val="auto"/>
          <w:sz w:val="32"/>
          <w:szCs w:val="32"/>
          <w:highlight w:val="none"/>
          <w:u w:val="single"/>
        </w:rPr>
      </w:pPr>
      <w:r/>
      <w:bookmarkStart w:id="250" w:name="_Toc73365520"/>
      <w:r/>
      <w:bookmarkStart w:id="251" w:name="_Toc73364907"/>
      <w:r/>
      <w:bookmarkStart w:id="252" w:name="_Toc142925675"/>
      <w:r/>
      <w:r/>
    </w:p>
    <w:tbl>
      <w:tblPr>
        <w:tblStyle w:val="703"/>
        <w:tblpPr w:horzAnchor="text" w:tblpX="96" w:vertAnchor="text" w:tblpY="1" w:leftFromText="180" w:topFromText="0" w:rightFromText="180" w:bottomFromText="0"/>
        <w:tblW w:w="4812" w:type="pct"/>
        <w:tblInd w:w="0" w:type="dxa"/>
        <w:tblLayout w:type="autofit"/>
        <w:tblCellMar>
          <w:left w:w="108" w:type="dxa"/>
          <w:top w:w="0" w:type="dxa"/>
          <w:right w:w="108" w:type="dxa"/>
          <w:bottom w:w="0" w:type="dxa"/>
        </w:tblCellMar>
        <w:tblLook w:val="04A0" w:firstRow="1" w:lastRow="0" w:firstColumn="1" w:lastColumn="0" w:noHBand="0" w:noVBand="1"/>
      </w:tblPr>
      <w:tblGrid>
        <w:gridCol w:w="1573"/>
        <w:gridCol w:w="7117"/>
      </w:tblGrid>
      <w:tr>
        <w:trPr>
          <w:cantSplit/>
          <w:trHeight w:val="397"/>
          <w:tblHeader/>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评分项目</w:t>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jc w:val="center"/>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评分细则</w:t>
            </w:r>
            <w:r/>
          </w:p>
        </w:tc>
      </w:tr>
      <w:tr>
        <w:trPr>
          <w:cantSplit/>
          <w:trHeight w:val="1699"/>
        </w:trPr>
        <w:tc>
          <w:tcPr>
            <w:tcBorders>
              <w:top w:val="single" w:color="auto" w:sz="4" w:space="0"/>
              <w:left w:val="single" w:color="auto" w:sz="4" w:space="0"/>
              <w:right w:val="single" w:color="auto" w:sz="4" w:space="0"/>
            </w:tcBorders>
            <w:tcW w:w="905" w:type="pct"/>
            <w:vAlign w:val="center"/>
            <w:vMerge w:val="restart"/>
            <w:textDirection w:val="lrTb"/>
            <w:noWrap w:val="false"/>
          </w:tcPr>
          <w:p>
            <w:pPr>
              <w:jc w:val="center"/>
              <w:spacing w:line="276"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商务评估(</w:t>
            </w:r>
            <w:r>
              <w:rPr>
                <w:rFonts w:hint="eastAsia" w:ascii="仿宋" w:hAnsi="仿宋" w:eastAsia="仿宋" w:cs="仿宋"/>
                <w:b/>
                <w:color w:val="auto"/>
                <w:sz w:val="24"/>
                <w:szCs w:val="24"/>
                <w:highlight w:val="none"/>
                <w:lang w:val="en-US" w:eastAsia="zh-CN"/>
              </w:rPr>
              <w:t xml:space="preserve">35</w:t>
            </w:r>
            <w:r>
              <w:rPr>
                <w:rFonts w:hint="eastAsia" w:ascii="仿宋" w:hAnsi="仿宋" w:eastAsia="仿宋" w:cs="仿宋"/>
                <w:b/>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机械配备</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15</w:t>
            </w:r>
            <w:r>
              <w:rPr>
                <w:rFonts w:hint="eastAsia" w:ascii="仿宋" w:hAnsi="仿宋" w:eastAsia="仿宋" w:cs="仿宋"/>
                <w:b/>
                <w:color w:val="auto"/>
                <w:sz w:val="24"/>
                <w:szCs w:val="24"/>
                <w:highlight w:val="none"/>
              </w:rPr>
              <w:t xml:space="preserve">分）</w:t>
            </w:r>
            <w:r/>
          </w:p>
          <w:p>
            <w:pPr>
              <w:numPr>
                <w:ilvl w:val="0"/>
                <w:numId w:val="4"/>
              </w:numPr>
              <w:ind w:firstLine="240"/>
              <w:spacing w:line="360" w:lineRule="auto"/>
              <w:shd w:val="clear" w:color="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供应商配备机械播撒机的，在满足5台的基础上，每增加1台得2分，最高得10分。</w:t>
            </w:r>
            <w:r/>
          </w:p>
          <w:p>
            <w:pPr>
              <w:numPr>
                <w:ilvl w:val="0"/>
                <w:numId w:val="0"/>
              </w:numPr>
              <w:ind w:firstLine="482"/>
              <w:spacing w:line="360" w:lineRule="auto"/>
              <w:shd w:val="clear" w:color="auto"/>
              <w:rPr>
                <w:rFonts w:hint="default"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注：需提供有效的购买发票复印件，如是租赁需提供有效的租赁合同及购买发票的复印件，否则不得分。供应商承诺成交后按规定要求配置相应机械的可得5分，需提供承诺函，格式自拟。</w:t>
            </w:r>
            <w:r/>
          </w:p>
          <w:p>
            <w:pPr>
              <w:numPr>
                <w:ilvl w:val="0"/>
                <w:numId w:val="4"/>
              </w:numPr>
              <w:ind w:firstLine="240"/>
              <w:spacing w:line="360" w:lineRule="auto"/>
              <w:shd w:val="clear" w:color="auto"/>
              <w:rPr>
                <w:rFonts w:hint="default"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供应商配备运输车辆的，</w:t>
            </w:r>
            <w:r>
              <w:rPr>
                <w:rFonts w:hint="eastAsia" w:ascii="仿宋" w:hAnsi="仿宋" w:eastAsia="仿宋" w:cs="仿宋"/>
                <w:bCs/>
                <w:color w:val="auto"/>
                <w:sz w:val="24"/>
                <w:szCs w:val="24"/>
                <w:highlight w:val="none"/>
                <w:lang w:val="en-US" w:eastAsia="zh-CN"/>
              </w:rPr>
              <w:t xml:space="preserve">在满足5</w:t>
            </w:r>
            <w:r>
              <w:rPr>
                <w:rFonts w:hint="eastAsia" w:ascii="仿宋" w:hAnsi="仿宋" w:eastAsia="仿宋" w:cs="仿宋"/>
                <w:b w:val="0"/>
                <w:bCs/>
                <w:color w:val="auto"/>
                <w:sz w:val="24"/>
                <w:szCs w:val="24"/>
                <w:highlight w:val="none"/>
                <w:lang w:val="en-US" w:eastAsia="zh-CN"/>
              </w:rPr>
              <w:t xml:space="preserve">辆</w:t>
            </w:r>
            <w:r>
              <w:rPr>
                <w:rFonts w:hint="eastAsia" w:ascii="仿宋" w:hAnsi="仿宋" w:eastAsia="仿宋" w:cs="仿宋"/>
                <w:bCs/>
                <w:color w:val="auto"/>
                <w:sz w:val="24"/>
                <w:szCs w:val="24"/>
                <w:highlight w:val="none"/>
                <w:lang w:val="en-US" w:eastAsia="zh-CN"/>
              </w:rPr>
              <w:t xml:space="preserve">的基础上，</w:t>
            </w:r>
            <w:r>
              <w:rPr>
                <w:rFonts w:hint="eastAsia" w:ascii="仿宋" w:hAnsi="仿宋" w:eastAsia="仿宋" w:cs="仿宋"/>
                <w:b w:val="0"/>
                <w:bCs/>
                <w:color w:val="auto"/>
                <w:sz w:val="24"/>
                <w:szCs w:val="24"/>
                <w:highlight w:val="none"/>
                <w:lang w:val="en-US" w:eastAsia="zh-CN"/>
              </w:rPr>
              <w:t xml:space="preserve">每</w:t>
            </w:r>
            <w:r>
              <w:rPr>
                <w:rFonts w:hint="eastAsia" w:ascii="仿宋" w:hAnsi="仿宋" w:eastAsia="仿宋" w:cs="仿宋"/>
                <w:bCs/>
                <w:color w:val="auto"/>
                <w:sz w:val="24"/>
                <w:szCs w:val="24"/>
                <w:highlight w:val="none"/>
                <w:lang w:val="en-US" w:eastAsia="zh-CN"/>
              </w:rPr>
              <w:t xml:space="preserve">增加</w:t>
            </w:r>
            <w:r>
              <w:rPr>
                <w:rFonts w:hint="eastAsia" w:ascii="仿宋" w:hAnsi="仿宋" w:eastAsia="仿宋" w:cs="仿宋"/>
                <w:b w:val="0"/>
                <w:bCs/>
                <w:color w:val="auto"/>
                <w:sz w:val="24"/>
                <w:szCs w:val="24"/>
                <w:highlight w:val="none"/>
                <w:lang w:val="en-US" w:eastAsia="zh-CN"/>
              </w:rPr>
              <w:t xml:space="preserve">1辆得1分，最高得5分。</w:t>
            </w:r>
            <w:r/>
          </w:p>
          <w:p>
            <w:pPr>
              <w:numPr>
                <w:ilvl w:val="0"/>
                <w:numId w:val="0"/>
              </w:numPr>
              <w:ind w:firstLine="482"/>
              <w:spacing w:line="360" w:lineRule="auto"/>
              <w:shd w:val="clear" w:color="auto"/>
              <w:rPr>
                <w:rFonts w:hint="default"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需提供有效的购买发票复印件及行驶证，如是租赁需提供有效的租赁合同及行驶证，合同中应明确所租车辆的信息，否则不得分。供应商承诺成交后按规定要求配置相应机械的可得2.5分，需提供承诺函，格式自拟。</w:t>
            </w:r>
            <w:r/>
          </w:p>
        </w:tc>
      </w:tr>
      <w:tr>
        <w:trPr>
          <w:cantSplit/>
          <w:trHeight w:val="1699"/>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人员配备（</w:t>
            </w: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分）</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供应商配备持有有效拖拉机驾驶证的人员，每有1人加1分，最高得10分。</w:t>
            </w:r>
            <w:r/>
          </w:p>
          <w:p>
            <w:pPr>
              <w:numPr>
                <w:ilvl w:val="0"/>
                <w:numId w:val="0"/>
              </w:numPr>
              <w:ind w:firstLine="482"/>
              <w:spacing w:line="360" w:lineRule="auto"/>
              <w:shd w:val="clear" w:color="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注：需提供有效的用工合同。</w:t>
            </w:r>
            <w:r/>
          </w:p>
        </w:tc>
      </w:tr>
      <w:tr>
        <w:trPr>
          <w:cantSplit/>
          <w:trHeight w:val="1142"/>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业绩</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供应商自2023年1月1日以来具有类似项目经验（肥料撒施）的，每提供一份的得3分，最高6分。</w:t>
            </w:r>
            <w:r/>
          </w:p>
          <w:p>
            <w:pPr>
              <w:ind w:firstLine="480"/>
              <w:spacing w:line="360" w:lineRule="auto"/>
              <w:shd w:val="clear" w:color="auto"/>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注：需提供合同复印件（含合同首页、主要内容页、签字盖章页），否则不得分。时间以合同签订时间为准。</w:t>
            </w:r>
            <w:r/>
          </w:p>
        </w:tc>
      </w:tr>
      <w:tr>
        <w:trPr>
          <w:cantSplit/>
          <w:trHeight w:val="1142"/>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售后承诺（4分）</w:t>
            </w:r>
            <w:r/>
          </w:p>
          <w:p>
            <w:pPr>
              <w:pStyle w:val="955"/>
              <w:numPr>
                <w:ilvl w:val="0"/>
                <w:numId w:val="0"/>
              </w:numPr>
              <w:ind w:left="0" w:firstLine="480"/>
              <w:jc w:val="left"/>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承诺问题发生</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小时内响应、</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小时内到达现场</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承诺问题发生后1小时内响应、2小时内到达现场的，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承诺问题发生后2小时内响应、4小时内到达现场的，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本项评分最高为4分。</w:t>
            </w:r>
            <w:r/>
          </w:p>
          <w:p>
            <w:pPr>
              <w:spacing w:line="360" w:lineRule="auto"/>
              <w:shd w:val="clear" w:color="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承诺内容由供应商自行拟定，格式不限，未按要求作出承诺的不得分。</w:t>
            </w:r>
            <w:r/>
          </w:p>
        </w:tc>
      </w:tr>
      <w:tr>
        <w:trPr>
          <w:cantSplit/>
          <w:trHeight w:val="1142"/>
        </w:trPr>
        <w:tc>
          <w:tcPr>
            <w:tcBorders>
              <w:top w:val="single" w:color="auto" w:sz="4" w:space="0"/>
              <w:left w:val="single" w:color="auto" w:sz="4" w:space="0"/>
              <w:right w:val="single" w:color="auto" w:sz="4" w:space="0"/>
            </w:tcBorders>
            <w:tcW w:w="905" w:type="pct"/>
            <w:vAlign w:val="center"/>
            <w:vMerge w:val="restart"/>
            <w:textDirection w:val="lrTb"/>
            <w:noWrap w:val="false"/>
          </w:tcPr>
          <w:p>
            <w:pPr>
              <w:jc w:val="center"/>
              <w:spacing w:line="276" w:lineRule="auto"/>
              <w:shd w:val="clear" w:color="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技术评估（</w:t>
            </w:r>
            <w:r>
              <w:rPr>
                <w:rFonts w:hint="eastAsia" w:ascii="仿宋" w:hAnsi="仿宋" w:eastAsia="仿宋" w:cs="仿宋"/>
                <w:b/>
                <w:color w:val="auto"/>
                <w:sz w:val="24"/>
                <w:szCs w:val="24"/>
                <w:highlight w:val="none"/>
                <w:lang w:val="en-US" w:eastAsia="zh-CN"/>
              </w:rPr>
              <w:t xml:space="preserve">45</w:t>
            </w:r>
            <w:r>
              <w:rPr>
                <w:rFonts w:hint="eastAsia" w:ascii="仿宋" w:hAnsi="仿宋" w:eastAsia="仿宋" w:cs="仿宋"/>
                <w:b/>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总体服务方案（</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分）</w:t>
            </w:r>
            <w:r/>
          </w:p>
          <w:p>
            <w:pPr>
              <w:ind w:left="0" w:right="0" w:firstLine="480"/>
              <w:keepLines w:val="0"/>
              <w:keepNext w:val="0"/>
              <w:pageBreakBefore w:val="0"/>
              <w:spacing w:line="360" w:lineRule="auto"/>
              <w:shd w:val="clear" w:color="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依据响应文件中的总体服务方案进行综合评分，将针对方案包含的项目概况、服务范围、技术路线、质量目标开展综合评审。</w:t>
            </w:r>
            <w:r/>
          </w:p>
          <w:p>
            <w:pPr>
              <w:ind w:left="0" w:right="0" w:firstLine="480"/>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方案内容完整包含上述全部要点的得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分，每少一项扣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供应商提供的方案契合采购需求的加1分；</w:t>
            </w:r>
            <w:r/>
          </w:p>
          <w:p>
            <w:pPr>
              <w:ind w:left="0" w:right="0" w:firstLine="480"/>
              <w:jc w:val="both"/>
              <w:keepLines w:val="0"/>
              <w:keepNext w:val="0"/>
              <w:pageBreakBefore w:val="0"/>
              <w:spacing w:line="360" w:lineRule="auto"/>
              <w:shd w:val="clear" w:color="auto"/>
              <w:widowControl w:val="off"/>
              <w:rPr>
                <w:rFonts w:hint="eastAsia" w:eastAsia="宋体"/>
                <w:color w:val="auto"/>
                <w:highlight w:val="none"/>
                <w:lang w:eastAsia="zh-CN"/>
              </w:rPr>
            </w:pPr>
            <w:r>
              <w:rPr>
                <w:rFonts w:hint="eastAsia" w:ascii="仿宋" w:hAnsi="仿宋" w:eastAsia="仿宋" w:cs="仿宋"/>
                <w:color w:val="auto"/>
                <w:sz w:val="24"/>
                <w:szCs w:val="24"/>
                <w:highlight w:val="none"/>
                <w:lang w:val="en-US" w:eastAsia="zh-CN" w:bidi="ar-SA"/>
              </w:rPr>
              <w:t xml:space="preserve">方案符合采购需求中采购人实际情况的加2分；</w:t>
            </w:r>
            <w:r/>
          </w:p>
          <w:p>
            <w:pPr>
              <w:ind w:left="0" w:right="0" w:firstLine="480"/>
              <w:keepLines w:val="0"/>
              <w:keepNext w:val="0"/>
              <w:pageBreakBefore w:val="0"/>
              <w:spacing w:line="360" w:lineRule="auto"/>
              <w:shd w:val="clear" w:color="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未提供方案的不得分。</w:t>
            </w:r>
            <w:r/>
          </w:p>
        </w:tc>
      </w:tr>
      <w:tr>
        <w:trPr>
          <w:cantSplit/>
          <w:trHeight w:val="645"/>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服务程序及总体组织部署(</w:t>
            </w: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分)</w:t>
            </w:r>
            <w:r/>
          </w:p>
          <w:p>
            <w:pPr>
              <w:ind w:firstLine="480"/>
              <w:spacing w:line="360" w:lineRule="auto"/>
              <w:shd w:val="clear" w:color="auto"/>
              <w:rPr>
                <w:rFonts w:hint="default"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将</w:t>
            </w:r>
            <w:r>
              <w:rPr>
                <w:rFonts w:hint="eastAsia" w:ascii="仿宋" w:hAnsi="仿宋" w:eastAsia="仿宋" w:cs="仿宋"/>
                <w:b w:val="0"/>
                <w:bCs w:val="0"/>
                <w:color w:val="auto"/>
                <w:sz w:val="24"/>
                <w:szCs w:val="24"/>
                <w:highlight w:val="none"/>
              </w:rPr>
              <w:t xml:space="preserve">依据响应文件中的服务程序及总体组织部署</w:t>
            </w:r>
            <w:r>
              <w:rPr>
                <w:rFonts w:hint="eastAsia" w:ascii="仿宋" w:hAnsi="仿宋" w:eastAsia="仿宋" w:cs="仿宋"/>
                <w:b w:val="0"/>
                <w:bCs w:val="0"/>
                <w:color w:val="auto"/>
                <w:sz w:val="24"/>
                <w:szCs w:val="24"/>
                <w:highlight w:val="none"/>
                <w:lang w:val="en-US" w:eastAsia="zh-CN"/>
              </w:rPr>
              <w:t xml:space="preserve">方案</w:t>
            </w:r>
            <w:r>
              <w:rPr>
                <w:rFonts w:hint="eastAsia" w:ascii="仿宋" w:hAnsi="仿宋" w:eastAsia="仿宋" w:cs="仿宋"/>
                <w:b w:val="0"/>
                <w:bCs w:val="0"/>
                <w:color w:val="auto"/>
                <w:sz w:val="24"/>
                <w:szCs w:val="24"/>
                <w:highlight w:val="none"/>
                <w:lang w:eastAsia="zh-CN"/>
              </w:rPr>
              <w:t xml:space="preserve">开展</w:t>
            </w:r>
            <w:r>
              <w:rPr>
                <w:rFonts w:hint="eastAsia" w:ascii="仿宋" w:hAnsi="仿宋" w:eastAsia="仿宋" w:cs="仿宋"/>
                <w:b w:val="0"/>
                <w:bCs w:val="0"/>
                <w:color w:val="auto"/>
                <w:sz w:val="24"/>
                <w:szCs w:val="24"/>
                <w:highlight w:val="none"/>
              </w:rPr>
              <w:t xml:space="preserve">综合评分</w:t>
            </w:r>
            <w:r>
              <w:rPr>
                <w:rFonts w:hint="eastAsia" w:ascii="仿宋" w:hAnsi="仿宋" w:eastAsia="仿宋" w:cs="仿宋"/>
                <w:b w:val="0"/>
                <w:bCs w:val="0"/>
                <w:color w:val="auto"/>
                <w:sz w:val="24"/>
                <w:szCs w:val="24"/>
                <w:highlight w:val="none"/>
                <w:lang w:eastAsia="zh-CN"/>
              </w:rPr>
              <w:t xml:space="preserve">，要求</w:t>
            </w:r>
            <w:r>
              <w:rPr>
                <w:rFonts w:hint="eastAsia" w:ascii="仿宋" w:hAnsi="仿宋" w:eastAsia="仿宋" w:cs="仿宋"/>
                <w:b w:val="0"/>
                <w:bCs w:val="0"/>
                <w:color w:val="auto"/>
                <w:sz w:val="24"/>
                <w:szCs w:val="24"/>
                <w:highlight w:val="none"/>
                <w:lang w:val="en-US" w:eastAsia="zh-CN"/>
              </w:rPr>
              <w:t xml:space="preserve">方案内容包含进场准备、肥料接收、撒施作业、人员设备配置、质量自检、验收交付、售后跟踪等要点。</w:t>
            </w:r>
            <w:r/>
          </w:p>
          <w:p>
            <w:pPr>
              <w:ind w:firstLine="480"/>
              <w:keepLines w:val="0"/>
              <w:keepNext w:val="0"/>
              <w:pageBreakBefore w:val="0"/>
              <w:spacing w:line="360" w:lineRule="auto"/>
              <w:shd w:val="clear" w:color="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方案内容完整包含上述全部要点的得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分，每少一项扣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方案贴合采购需求且切实可行的加1分；</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方案符合采购需求中采购人实际情况的加2分；</w:t>
            </w:r>
            <w:r/>
          </w:p>
          <w:p>
            <w:pPr>
              <w:ind w:firstLine="480"/>
              <w:spacing w:line="360" w:lineRule="auto"/>
              <w:shd w:val="clear" w:color="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未提供方案的不得分。</w:t>
            </w:r>
            <w:r/>
          </w:p>
        </w:tc>
      </w:tr>
      <w:tr>
        <w:trPr>
          <w:cantSplit/>
          <w:trHeight w:val="621"/>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编制思路及重难点分析</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7分</w:t>
            </w:r>
            <w:r>
              <w:rPr>
                <w:rFonts w:hint="eastAsia" w:ascii="仿宋" w:hAnsi="仿宋" w:eastAsia="仿宋" w:cs="仿宋"/>
                <w:b/>
                <w:bCs/>
                <w:color w:val="auto"/>
                <w:sz w:val="24"/>
                <w:szCs w:val="24"/>
                <w:highlight w:val="none"/>
                <w:lang w:eastAsia="zh-CN"/>
              </w:rPr>
              <w:t xml:space="preserve">）</w:t>
            </w:r>
            <w:r/>
          </w:p>
          <w:p>
            <w:pPr>
              <w:ind w:firstLine="480"/>
              <w:spacing w:line="360" w:lineRule="auto"/>
              <w:shd w:val="clear" w:color="auto"/>
              <w:rPr>
                <w:rFonts w:hint="default"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将</w:t>
            </w:r>
            <w:r>
              <w:rPr>
                <w:rFonts w:hint="eastAsia" w:ascii="仿宋" w:hAnsi="仿宋" w:eastAsia="仿宋" w:cs="仿宋"/>
                <w:b w:val="0"/>
                <w:bCs w:val="0"/>
                <w:color w:val="auto"/>
                <w:sz w:val="24"/>
                <w:szCs w:val="24"/>
                <w:highlight w:val="none"/>
              </w:rPr>
              <w:t xml:space="preserve">依据响应文件中</w:t>
            </w:r>
            <w:r>
              <w:rPr>
                <w:rFonts w:hint="eastAsia" w:ascii="仿宋" w:hAnsi="仿宋" w:eastAsia="仿宋" w:cs="仿宋"/>
                <w:b w:val="0"/>
                <w:bCs w:val="0"/>
                <w:color w:val="auto"/>
                <w:sz w:val="24"/>
                <w:szCs w:val="24"/>
                <w:highlight w:val="none"/>
                <w:lang w:val="en-US" w:eastAsia="zh-CN"/>
              </w:rPr>
              <w:t xml:space="preserve">本项目</w:t>
            </w:r>
            <w:r>
              <w:rPr>
                <w:rFonts w:hint="eastAsia" w:ascii="仿宋" w:hAnsi="仿宋" w:eastAsia="仿宋" w:cs="仿宋"/>
                <w:color w:val="auto"/>
                <w:sz w:val="24"/>
                <w:szCs w:val="24"/>
                <w:highlight w:val="none"/>
                <w:lang w:eastAsia="zh-CN"/>
              </w:rPr>
              <w:t xml:space="preserve">重点难点问题的分析内容</w:t>
            </w:r>
            <w:r>
              <w:rPr>
                <w:rFonts w:hint="eastAsia" w:ascii="仿宋" w:hAnsi="仿宋" w:eastAsia="仿宋" w:cs="仿宋"/>
                <w:color w:val="auto"/>
                <w:sz w:val="24"/>
                <w:szCs w:val="24"/>
                <w:highlight w:val="none"/>
                <w:lang w:val="en-US" w:eastAsia="zh-CN"/>
              </w:rPr>
              <w:t xml:space="preserve">进行评分，要求方案内容包含撒施均匀度控制、不同地块适配、质量追溯、雨季/农时抢工等要点。</w:t>
            </w:r>
            <w:r/>
          </w:p>
          <w:p>
            <w:pPr>
              <w:ind w:firstLine="480"/>
              <w:spacing w:line="360" w:lineRule="auto"/>
              <w:shd w:val="clear" w:color="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方案内容完整包含上述全部要点的得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分，每少一项扣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供应商提供的方案契合采购需求的加1分；</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方案符合采购需求中采购人实际情况的加2分；</w:t>
            </w:r>
            <w:r/>
          </w:p>
          <w:p>
            <w:pPr>
              <w:ind w:firstLine="480"/>
              <w:spacing w:line="360" w:lineRule="auto"/>
              <w:shd w:val="clear" w:color="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未提供方案的不得分。</w:t>
            </w:r>
            <w:r/>
          </w:p>
        </w:tc>
      </w:tr>
      <w:tr>
        <w:trPr>
          <w:cantSplit/>
          <w:trHeight w:val="3108"/>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服务进度计划安排及保证措施(</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分)</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依据响应文件中的服务进度计划安排及保证措施</w:t>
            </w:r>
            <w:r>
              <w:rPr>
                <w:rFonts w:hint="eastAsia" w:ascii="仿宋" w:hAnsi="仿宋" w:eastAsia="仿宋" w:cs="仿宋"/>
                <w:b w:val="0"/>
                <w:bCs w:val="0"/>
                <w:color w:val="auto"/>
                <w:sz w:val="24"/>
                <w:szCs w:val="24"/>
                <w:highlight w:val="none"/>
                <w:lang w:eastAsia="zh-CN"/>
              </w:rPr>
              <w:t xml:space="preserve">开展</w:t>
            </w:r>
            <w:r>
              <w:rPr>
                <w:rFonts w:hint="eastAsia" w:ascii="仿宋" w:hAnsi="仿宋" w:eastAsia="仿宋" w:cs="仿宋"/>
                <w:b w:val="0"/>
                <w:bCs w:val="0"/>
                <w:color w:val="auto"/>
                <w:sz w:val="24"/>
                <w:szCs w:val="24"/>
                <w:highlight w:val="none"/>
              </w:rPr>
              <w:t xml:space="preserve">综合评分</w:t>
            </w:r>
            <w:r>
              <w:rPr>
                <w:rFonts w:hint="eastAsia" w:ascii="仿宋" w:hAnsi="仿宋" w:eastAsia="仿宋" w:cs="仿宋"/>
                <w:b w:val="0"/>
                <w:bCs w:val="0"/>
                <w:color w:val="auto"/>
                <w:sz w:val="24"/>
                <w:szCs w:val="24"/>
                <w:highlight w:val="none"/>
                <w:lang w:eastAsia="zh-CN"/>
              </w:rPr>
              <w:t xml:space="preserve">，要求</w:t>
            </w:r>
            <w:r>
              <w:rPr>
                <w:rFonts w:hint="eastAsia" w:ascii="仿宋" w:hAnsi="仿宋" w:eastAsia="仿宋" w:cs="仿宋"/>
                <w:color w:val="auto"/>
                <w:sz w:val="24"/>
                <w:szCs w:val="24"/>
                <w:highlight w:val="none"/>
                <w:lang w:val="en-US" w:eastAsia="zh-CN"/>
              </w:rPr>
              <w:t xml:space="preserve">方案内容包含</w:t>
            </w:r>
            <w:r>
              <w:rPr>
                <w:rFonts w:hint="eastAsia" w:ascii="仿宋" w:hAnsi="仿宋" w:eastAsia="仿宋" w:cs="仿宋"/>
                <w:b w:val="0"/>
                <w:bCs w:val="0"/>
                <w:color w:val="auto"/>
                <w:sz w:val="24"/>
                <w:szCs w:val="24"/>
                <w:highlight w:val="none"/>
              </w:rPr>
              <w:t xml:space="preserve">人员轮班、设备备用、天气预案、调度机制等</w:t>
            </w:r>
            <w:r>
              <w:rPr>
                <w:rFonts w:hint="eastAsia" w:ascii="仿宋" w:hAnsi="仿宋" w:eastAsia="仿宋" w:cs="仿宋"/>
                <w:b w:val="0"/>
                <w:bCs w:val="0"/>
                <w:color w:val="auto"/>
                <w:sz w:val="24"/>
                <w:szCs w:val="24"/>
                <w:highlight w:val="none"/>
                <w:lang w:eastAsia="zh-CN"/>
              </w:rPr>
              <w:t xml:space="preserve">要点。</w:t>
            </w:r>
            <w:r/>
          </w:p>
          <w:p>
            <w:pPr>
              <w:ind w:firstLine="480"/>
              <w:spacing w:line="360" w:lineRule="auto"/>
              <w:shd w:val="clear" w:color="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方案内容完整包含上述全部要点的得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分，每少一项扣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供应商提供的方案契合采购需求的加1分；</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方案符合采购需求中采购人实际情况的加2分；</w:t>
            </w:r>
            <w:r/>
          </w:p>
          <w:p>
            <w:pPr>
              <w:ind w:firstLine="480"/>
              <w:spacing w:line="360" w:lineRule="auto"/>
              <w:shd w:val="clear" w:color="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bidi="ar-SA"/>
              </w:rPr>
              <w:t xml:space="preserve">未提供方案的不得分。</w:t>
            </w:r>
            <w:r/>
          </w:p>
        </w:tc>
      </w:tr>
      <w:tr>
        <w:trPr>
          <w:cantSplit/>
          <w:trHeight w:val="746"/>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服务</w:t>
            </w:r>
            <w:r>
              <w:rPr>
                <w:rFonts w:hint="eastAsia" w:ascii="仿宋" w:hAnsi="仿宋" w:eastAsia="仿宋" w:cs="仿宋"/>
                <w:b/>
                <w:bCs/>
                <w:color w:val="auto"/>
                <w:sz w:val="24"/>
                <w:szCs w:val="24"/>
                <w:highlight w:val="none"/>
                <w:lang w:val="en-US" w:eastAsia="zh-CN"/>
              </w:rPr>
              <w:t xml:space="preserve">实施点位部署</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分)</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依据响应文件中</w:t>
            </w:r>
            <w:r>
              <w:rPr>
                <w:rFonts w:hint="eastAsia" w:ascii="仿宋" w:hAnsi="仿宋" w:eastAsia="仿宋" w:cs="仿宋"/>
                <w:b w:val="0"/>
                <w:bCs w:val="0"/>
                <w:color w:val="auto"/>
                <w:sz w:val="24"/>
                <w:szCs w:val="24"/>
                <w:highlight w:val="none"/>
                <w:lang w:val="en-US" w:eastAsia="zh-CN"/>
              </w:rPr>
              <w:t xml:space="preserve">本项目撒施点位的部署及安排开展</w:t>
            </w:r>
            <w:r>
              <w:rPr>
                <w:rFonts w:hint="eastAsia" w:ascii="仿宋" w:hAnsi="仿宋" w:eastAsia="仿宋" w:cs="仿宋"/>
                <w:b w:val="0"/>
                <w:bCs w:val="0"/>
                <w:color w:val="auto"/>
                <w:sz w:val="24"/>
                <w:szCs w:val="24"/>
                <w:highlight w:val="none"/>
              </w:rPr>
              <w:t xml:space="preserve">综合评分</w:t>
            </w:r>
            <w:r>
              <w:rPr>
                <w:rFonts w:hint="eastAsia" w:ascii="仿宋" w:hAnsi="仿宋" w:eastAsia="仿宋" w:cs="仿宋"/>
                <w:b w:val="0"/>
                <w:bCs w:val="0"/>
                <w:color w:val="auto"/>
                <w:sz w:val="24"/>
                <w:szCs w:val="24"/>
                <w:highlight w:val="none"/>
                <w:lang w:eastAsia="zh-CN"/>
              </w:rPr>
              <w:t xml:space="preserve">，要求</w:t>
            </w:r>
            <w:r>
              <w:rPr>
                <w:rFonts w:hint="eastAsia" w:ascii="仿宋" w:hAnsi="仿宋" w:eastAsia="仿宋" w:cs="仿宋"/>
                <w:color w:val="auto"/>
                <w:sz w:val="24"/>
                <w:szCs w:val="24"/>
                <w:highlight w:val="none"/>
                <w:lang w:val="en-US" w:eastAsia="zh-CN"/>
              </w:rPr>
              <w:t xml:space="preserve">方案内容包含作业路线、作业面积、作业时段，以及针对分散地块、边角地、设施大棚等特殊点位的专项作业方案。</w:t>
            </w:r>
            <w:r/>
          </w:p>
          <w:p>
            <w:pPr>
              <w:ind w:firstLine="480"/>
              <w:keepLines w:val="0"/>
              <w:keepNext w:val="0"/>
              <w:pageBreakBefore w:val="0"/>
              <w:spacing w:line="360" w:lineRule="auto"/>
              <w:shd w:val="clear" w:color="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方案内容完整包含上述全部要点的得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分，每少一项扣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p>
            <w:pPr>
              <w:ind w:left="0" w:right="0" w:firstLine="480"/>
              <w:jc w:val="both"/>
              <w:keepLines w:val="0"/>
              <w:keepNext w:val="0"/>
              <w:pageBreakBefore w:val="0"/>
              <w:spacing w:line="360" w:lineRule="auto"/>
              <w:shd w:val="clear" w:color="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供应商提供的方案契合采购需求的加1分；</w:t>
            </w:r>
            <w:r/>
          </w:p>
          <w:p>
            <w:pPr>
              <w:ind w:left="0" w:right="0" w:firstLine="480"/>
              <w:jc w:val="both"/>
              <w:keepLines w:val="0"/>
              <w:keepNext w:val="0"/>
              <w:pageBreakBefore w:val="0"/>
              <w:spacing w:line="360" w:lineRule="auto"/>
              <w:shd w:val="clear" w:color="auto"/>
              <w:widowControl w:val="off"/>
              <w:rPr>
                <w:rFonts w:hint="eastAsia" w:eastAsia="宋体"/>
                <w:color w:val="auto"/>
                <w:highlight w:val="none"/>
                <w:lang w:eastAsia="zh-CN"/>
              </w:rPr>
            </w:pPr>
            <w:r>
              <w:rPr>
                <w:rFonts w:hint="eastAsia" w:ascii="仿宋" w:hAnsi="仿宋" w:eastAsia="仿宋" w:cs="仿宋"/>
                <w:color w:val="auto"/>
                <w:sz w:val="24"/>
                <w:szCs w:val="24"/>
                <w:highlight w:val="none"/>
                <w:lang w:val="en-US" w:eastAsia="zh-CN" w:bidi="ar-SA"/>
              </w:rPr>
              <w:t xml:space="preserve">方案符合采购需求中采购人实际情况的加2分；</w:t>
            </w:r>
            <w:r/>
          </w:p>
          <w:p>
            <w:pPr>
              <w:ind w:firstLine="480"/>
              <w:spacing w:line="360" w:lineRule="auto"/>
              <w:shd w:val="clear" w:color="auto"/>
              <w:rPr>
                <w:rFonts w:hint="eastAsia" w:ascii="仿宋" w:hAnsi="仿宋" w:eastAsia="仿宋" w:cs="仿宋"/>
                <w:color w:val="auto"/>
                <w:sz w:val="24"/>
                <w:szCs w:val="24"/>
                <w:highlight w:val="none"/>
                <w:lang w:val="en-US" w:eastAsia="zh-TW"/>
              </w:rPr>
            </w:pPr>
            <w:r>
              <w:rPr>
                <w:rFonts w:hint="eastAsia" w:ascii="仿宋" w:hAnsi="仿宋" w:eastAsia="仿宋" w:cs="仿宋"/>
                <w:color w:val="auto"/>
                <w:sz w:val="24"/>
                <w:szCs w:val="24"/>
                <w:highlight w:val="none"/>
                <w:lang w:val="en-US" w:eastAsia="zh-CN" w:bidi="ar-SA"/>
              </w:rPr>
              <w:t xml:space="preserve">未提供方案的不得分。</w:t>
            </w:r>
            <w:r/>
          </w:p>
        </w:tc>
      </w:tr>
      <w:tr>
        <w:trPr>
          <w:cantSplit/>
          <w:trHeight w:val="3453"/>
        </w:trPr>
        <w:tc>
          <w:tcPr>
            <w:tcBorders>
              <w:left w:val="single" w:color="auto" w:sz="4" w:space="0"/>
              <w:right w:val="single" w:color="auto" w:sz="4" w:space="0"/>
            </w:tcBorders>
            <w:tcW w:w="905" w:type="pct"/>
            <w:vAlign w:val="center"/>
            <w:vMerge w:val="continue"/>
            <w:textDirection w:val="lrTb"/>
            <w:noWrap w:val="false"/>
          </w:tcPr>
          <w:p>
            <w:pPr>
              <w:jc w:val="center"/>
              <w:spacing w:line="276"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驻场服务（</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分）</w:t>
            </w:r>
            <w:r/>
          </w:p>
          <w:p>
            <w:pPr>
              <w:ind w:firstLine="480"/>
              <w:spacing w:line="360" w:lineRule="auto"/>
              <w:shd w:val="clear" w:color="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本次评分围绕驻场服务内容、驻场服务响应时间、驻场人员</w:t>
            </w:r>
            <w:r>
              <w:rPr>
                <w:rFonts w:hint="eastAsia" w:ascii="仿宋" w:hAnsi="仿宋" w:eastAsia="仿宋" w:cs="仿宋"/>
                <w:color w:val="auto"/>
                <w:sz w:val="24"/>
                <w:szCs w:val="24"/>
                <w:highlight w:val="none"/>
                <w:lang w:val="en-US" w:eastAsia="zh-CN"/>
              </w:rPr>
              <w:t xml:space="preserve">安排、</w:t>
            </w:r>
            <w:r>
              <w:rPr>
                <w:rFonts w:hint="eastAsia" w:ascii="仿宋" w:hAnsi="仿宋" w:eastAsia="仿宋" w:cs="仿宋"/>
                <w:color w:val="auto"/>
                <w:sz w:val="24"/>
                <w:szCs w:val="24"/>
                <w:highlight w:val="none"/>
                <w:lang w:eastAsia="zh-CN"/>
              </w:rPr>
              <w:t xml:space="preserve">驻场计划安排等事项开展，要求方案明确驻场服务的详细办公地点、驻场机构信息、驻场人员信息与管理制度。</w:t>
            </w:r>
            <w:r/>
          </w:p>
          <w:p>
            <w:pPr>
              <w:ind w:firstLine="480"/>
              <w:keepLines w:val="0"/>
              <w:keepNext w:val="0"/>
              <w:pageBreakBefore w:val="0"/>
              <w:spacing w:line="360" w:lineRule="auto"/>
              <w:shd w:val="clear" w:color="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方案内容完整包含上述全部要点的得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分，每少一项扣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p>
            <w:pPr>
              <w:ind w:firstLine="48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方案贴合采购人实际情况的加1分；</w:t>
            </w:r>
            <w:r/>
          </w:p>
          <w:p>
            <w:pPr>
              <w:ind w:left="0" w:right="0" w:firstLine="480"/>
              <w:jc w:val="both"/>
              <w:keepLines w:val="0"/>
              <w:keepNext w:val="0"/>
              <w:pageBreakBefore w:val="0"/>
              <w:spacing w:line="360" w:lineRule="auto"/>
              <w:shd w:val="clear" w:color="auto"/>
              <w:widowControl w:val="off"/>
              <w:rPr>
                <w:rFonts w:hint="eastAsia" w:eastAsia="宋体"/>
                <w:color w:val="auto"/>
                <w:highlight w:val="none"/>
                <w:lang w:eastAsia="zh-CN"/>
              </w:rPr>
            </w:pPr>
            <w:r>
              <w:rPr>
                <w:rFonts w:hint="eastAsia" w:ascii="仿宋" w:hAnsi="仿宋" w:eastAsia="仿宋" w:cs="仿宋"/>
                <w:color w:val="auto"/>
                <w:sz w:val="24"/>
                <w:szCs w:val="24"/>
                <w:highlight w:val="none"/>
                <w:lang w:val="en-US" w:eastAsia="zh-CN" w:bidi="ar-SA"/>
              </w:rPr>
              <w:t xml:space="preserve">方案契合采购需求的加2分；</w:t>
            </w:r>
            <w:r/>
          </w:p>
          <w:p>
            <w:pPr>
              <w:ind w:firstLine="480"/>
              <w:spacing w:line="360" w:lineRule="auto"/>
              <w:shd w:val="clear" w:color="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未提供方案的不得分。</w:t>
            </w:r>
            <w:r/>
          </w:p>
        </w:tc>
      </w:tr>
      <w:tr>
        <w:trPr>
          <w:trHeight w:val="397"/>
        </w:trPr>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spacing w:line="360" w:lineRule="auto"/>
              <w:shd w:val="clear" w:color="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价格评价（</w:t>
            </w:r>
            <w:r>
              <w:rPr>
                <w:rFonts w:hint="eastAsia" w:ascii="仿宋" w:hAnsi="仿宋" w:eastAsia="仿宋" w:cs="仿宋"/>
                <w:b/>
                <w:color w:val="auto"/>
                <w:sz w:val="24"/>
                <w:szCs w:val="24"/>
                <w:highlight w:val="none"/>
                <w:lang w:val="en-US" w:eastAsia="zh-CN"/>
              </w:rPr>
              <w:t xml:space="preserve">20</w:t>
            </w:r>
            <w:r>
              <w:rPr>
                <w:rFonts w:hint="eastAsia" w:ascii="仿宋" w:hAnsi="仿宋" w:eastAsia="仿宋" w:cs="仿宋"/>
                <w:b/>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4094" w:type="pct"/>
            <w:vAlign w:val="center"/>
            <w:textDirection w:val="lrTb"/>
            <w:noWrap w:val="false"/>
          </w:tcPr>
          <w:p>
            <w:pPr>
              <w:ind w:firstLine="480"/>
              <w:spacing w:line="360" w:lineRule="auto"/>
              <w:shd w:val="clear" w:color="auto"/>
              <w:rPr>
                <w:rFonts w:hint="eastAsia" w:ascii="仿宋" w:hAnsi="仿宋" w:eastAsia="仿宋" w:cs="仿宋"/>
                <w:b/>
                <w:color w:val="auto"/>
                <w:sz w:val="24"/>
                <w:szCs w:val="24"/>
                <w:highlight w:val="none"/>
                <w:u w:val="single"/>
              </w:rPr>
            </w:pPr>
            <w:r>
              <w:rPr>
                <w:rFonts w:hint="eastAsia" w:ascii="仿宋" w:hAnsi="仿宋" w:eastAsia="仿宋" w:cs="仿宋"/>
                <w:bCs/>
                <w:color w:val="auto"/>
                <w:sz w:val="24"/>
                <w:szCs w:val="24"/>
                <w:highlight w:val="none"/>
              </w:rPr>
              <w:t xml:space="preserve">满足磋商文件要求且</w:t>
            </w:r>
            <w:r>
              <w:rPr>
                <w:rFonts w:hint="eastAsia" w:ascii="仿宋" w:hAnsi="仿宋" w:eastAsia="仿宋" w:cs="仿宋"/>
                <w:bCs/>
                <w:color w:val="auto"/>
                <w:sz w:val="24"/>
                <w:szCs w:val="24"/>
                <w:highlight w:val="none"/>
                <w:lang w:val="en-US" w:eastAsia="zh-CN"/>
              </w:rPr>
              <w:t xml:space="preserve">最终报价</w:t>
            </w:r>
            <w:r>
              <w:rPr>
                <w:rFonts w:hint="eastAsia" w:ascii="仿宋" w:hAnsi="仿宋" w:eastAsia="仿宋" w:cs="仿宋"/>
                <w:bCs/>
                <w:color w:val="auto"/>
                <w:sz w:val="24"/>
                <w:szCs w:val="24"/>
                <w:highlight w:val="none"/>
              </w:rPr>
              <w:t xml:space="preserve">最低的</w:t>
            </w:r>
            <w:r>
              <w:rPr>
                <w:rFonts w:hint="eastAsia" w:ascii="仿宋" w:hAnsi="仿宋" w:eastAsia="仿宋" w:cs="仿宋"/>
                <w:bCs/>
                <w:color w:val="auto"/>
                <w:sz w:val="24"/>
                <w:szCs w:val="24"/>
                <w:highlight w:val="none"/>
                <w:lang w:val="en-US" w:eastAsia="zh-CN"/>
              </w:rPr>
              <w:t xml:space="preserve">为</w:t>
            </w:r>
            <w:r>
              <w:rPr>
                <w:rFonts w:hint="eastAsia" w:ascii="仿宋" w:hAnsi="仿宋" w:eastAsia="仿宋" w:cs="仿宋"/>
                <w:bCs/>
                <w:color w:val="auto"/>
                <w:sz w:val="24"/>
                <w:szCs w:val="24"/>
                <w:highlight w:val="none"/>
              </w:rPr>
              <w:t xml:space="preserve">基准价，其价格为满分。其他供应商的价格分按照公式计算：报价得分＝（基准价/</w:t>
            </w:r>
            <w:r>
              <w:rPr>
                <w:rFonts w:hint="eastAsia" w:ascii="仿宋" w:hAnsi="仿宋" w:eastAsia="仿宋" w:cs="仿宋"/>
                <w:bCs/>
                <w:color w:val="auto"/>
                <w:sz w:val="24"/>
                <w:szCs w:val="24"/>
                <w:highlight w:val="none"/>
                <w:lang w:val="en-US" w:eastAsia="zh-CN"/>
              </w:rPr>
              <w:t xml:space="preserve">各供应商最终</w:t>
            </w:r>
            <w:r>
              <w:rPr>
                <w:rFonts w:hint="eastAsia" w:ascii="仿宋" w:hAnsi="仿宋" w:eastAsia="仿宋" w:cs="仿宋"/>
                <w:bCs/>
                <w:color w:val="auto"/>
                <w:sz w:val="24"/>
                <w:szCs w:val="24"/>
                <w:highlight w:val="none"/>
              </w:rPr>
              <w:t xml:space="preserve">报价）×</w:t>
            </w:r>
            <w:r>
              <w:rPr>
                <w:rFonts w:hint="eastAsia" w:ascii="仿宋" w:hAnsi="仿宋" w:eastAsia="仿宋" w:cs="仿宋"/>
                <w:bCs/>
                <w:color w:val="auto"/>
                <w:sz w:val="24"/>
                <w:szCs w:val="24"/>
                <w:highlight w:val="none"/>
                <w:lang w:val="en-US" w:eastAsia="zh-CN"/>
              </w:rPr>
              <w:t xml:space="preserve">20</w:t>
            </w:r>
            <w:r>
              <w:rPr>
                <w:rFonts w:hint="eastAsia" w:ascii="仿宋" w:hAnsi="仿宋" w:eastAsia="仿宋" w:cs="仿宋"/>
                <w:bCs/>
                <w:color w:val="auto"/>
                <w:sz w:val="24"/>
                <w:szCs w:val="24"/>
                <w:highlight w:val="none"/>
              </w:rPr>
              <w:t xml:space="preserve">分。</w:t>
            </w:r>
            <w:r/>
          </w:p>
        </w:tc>
      </w:tr>
    </w:tbl>
    <w:p>
      <w:pPr>
        <w:pStyle w:val="775"/>
        <w:ind w:firstLine="321"/>
        <w:jc w:val="left"/>
        <w:spacing w:before="0" w:after="0" w:line="360" w:lineRule="auto"/>
        <w:shd w:val="clear" w:color="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75"/>
        <w:ind w:firstLine="321"/>
        <w:jc w:val="left"/>
        <w:spacing w:before="0" w:after="0" w:line="360" w:lineRule="auto"/>
        <w:shd w:val="clear" w:color="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7．推荐成交供应商</w:t>
      </w:r>
      <w:bookmarkEnd w:id="250"/>
      <w:r/>
      <w:bookmarkEnd w:id="251"/>
      <w:r/>
      <w:bookmarkEnd w:id="252"/>
      <w:r/>
      <w:r/>
    </w:p>
    <w:p>
      <w:pPr>
        <w:ind w:firstLine="480"/>
        <w:spacing w:line="360" w:lineRule="auto"/>
        <w:shd w:val="clear" w:color="auto"/>
        <w:rPr>
          <w:rFonts w:hint="eastAsia" w:ascii="仿宋" w:hAnsi="仿宋" w:eastAsia="仿宋" w:cs="仿宋"/>
          <w:color w:val="auto"/>
          <w:sz w:val="24"/>
          <w:highlight w:val="none"/>
        </w:rPr>
      </w:pPr>
      <w:r/>
      <w:bookmarkStart w:id="253" w:name="EBf60c0b78baae4cd4941a83c86b937dfd"/>
      <w:r>
        <w:rPr>
          <w:rFonts w:hint="eastAsia" w:ascii="仿宋" w:hAnsi="仿宋" w:eastAsia="仿宋" w:cs="仿宋"/>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53"/>
      <w:r/>
      <w:r/>
    </w:p>
    <w:p>
      <w:pPr>
        <w:shd w:val="clear" w:color="auto"/>
        <w:rPr>
          <w:rFonts w:hint="eastAsia" w:ascii="仿宋" w:hAnsi="仿宋" w:eastAsia="仿宋" w:cs="仿宋"/>
          <w:color w:val="auto"/>
          <w:highlight w:val="none"/>
        </w:rPr>
      </w:pPr>
      <w:r/>
      <w:bookmarkStart w:id="254" w:name="EB33162866c0454b07a982cbc9df098632"/>
      <w:r/>
      <w:bookmarkEnd w:id="254"/>
      <w:r/>
      <w:r/>
    </w:p>
    <w:p>
      <w:pPr>
        <w:shd w:val="clear" w:color="auto"/>
        <w:rPr>
          <w:rFonts w:hint="eastAsia" w:ascii="仿宋" w:hAnsi="仿宋" w:eastAsia="仿宋" w:cs="仿宋"/>
          <w:color w:val="auto"/>
          <w:sz w:val="32"/>
          <w:highlight w:val="none"/>
        </w:rPr>
      </w:pPr>
      <w:r/>
      <w:bookmarkStart w:id="255" w:name="_Toc142925676"/>
      <w:r/>
      <w:bookmarkStart w:id="256" w:name="_Toc73365521"/>
      <w:r/>
      <w:bookmarkStart w:id="257" w:name="_Toc73364908"/>
      <w:r>
        <w:rPr>
          <w:rFonts w:hint="eastAsia" w:ascii="仿宋" w:hAnsi="仿宋" w:eastAsia="仿宋" w:cs="仿宋"/>
          <w:color w:val="auto"/>
          <w:sz w:val="32"/>
          <w:highlight w:val="none"/>
        </w:rPr>
        <w:br w:type="page" w:clear="all"/>
      </w:r>
      <w:r/>
    </w:p>
    <w:p>
      <w:pPr>
        <w:pStyle w:val="774"/>
        <w:jc w:val="center"/>
        <w:shd w:val="clear" w:color="auto"/>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第六部分  磋商响应文件（格式）</w:t>
      </w:r>
      <w:bookmarkEnd w:id="255"/>
      <w:r/>
      <w:bookmarkEnd w:id="256"/>
      <w:r/>
      <w:bookmarkEnd w:id="257"/>
      <w:r/>
      <w:r/>
    </w:p>
    <w:p>
      <w:pPr>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p>
      <w:pPr>
        <w:pStyle w:val="961"/>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jc w:val="center"/>
        <w:spacing w:before="540" w:after="540"/>
        <w:shd w:val="clear" w:color="auto"/>
        <w:rPr>
          <w:rFonts w:hint="eastAsia" w:ascii="仿宋" w:hAnsi="仿宋" w:eastAsia="仿宋" w:cs="仿宋"/>
          <w:b/>
          <w:bCs/>
          <w:color w:val="auto"/>
          <w:sz w:val="54"/>
          <w:szCs w:val="54"/>
          <w:highlight w:val="none"/>
        </w:rPr>
      </w:pPr>
      <w:r>
        <w:rPr>
          <w:rFonts w:hint="eastAsia" w:ascii="仿宋" w:hAnsi="仿宋" w:eastAsia="仿宋" w:cs="仿宋"/>
          <w:b/>
          <w:bCs/>
          <w:color w:val="auto"/>
          <w:sz w:val="54"/>
          <w:szCs w:val="54"/>
          <w:highlight w:val="none"/>
        </w:rPr>
        <w:t xml:space="preserve">磋 商 响 应 文 件</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jc w:val="center"/>
        <w:spacing w:before="320" w:after="320"/>
        <w:shd w:val="clear" w:color="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项目编号：     </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jc w:val="center"/>
        <w:spacing w:before="320" w:after="320"/>
        <w:shd w:val="clear" w:color="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项目名称：     </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spacing w:before="240" w:after="240"/>
        <w:shd w:val="clear" w:color="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61"/>
        <w:jc w:val="center"/>
        <w:spacing w:before="320" w:after="320"/>
        <w:shd w:val="clear" w:color="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供应商（加盖公章）：     </w:t>
      </w:r>
      <w:r/>
    </w:p>
    <w:p>
      <w:pPr>
        <w:pStyle w:val="961"/>
        <w:jc w:val="center"/>
        <w:spacing w:before="320" w:after="320"/>
        <w:shd w:val="clear" w:color="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w:t>
      </w:r>
      <w:r/>
    </w:p>
    <w:p>
      <w:pPr>
        <w:pStyle w:val="961"/>
        <w:jc w:val="center"/>
        <w:spacing w:before="320" w:after="320" w:line="360" w:lineRule="auto"/>
        <w:shd w:val="clear" w:color="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日期：   </w:t>
      </w:r>
      <w:r/>
    </w:p>
    <w:p>
      <w:pPr>
        <w:jc w:val="center"/>
        <w:spacing w:line="360" w:lineRule="auto"/>
        <w:shd w:val="clear" w:color="auto"/>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highlight w:val="none"/>
        </w:rPr>
        <w:br w:type="page" w:clear="all"/>
      </w:r>
      <w:bookmarkStart w:id="258" w:name="_Toc142925679"/>
      <w:r/>
      <w:bookmarkStart w:id="259" w:name="_Toc256000067"/>
      <w:r>
        <w:rPr>
          <w:rFonts w:hint="eastAsia" w:ascii="仿宋" w:hAnsi="仿宋" w:eastAsia="仿宋" w:cs="仿宋"/>
          <w:color w:val="auto"/>
          <w:sz w:val="30"/>
          <w:szCs w:val="20"/>
          <w:highlight w:val="none"/>
        </w:rPr>
        <w:t xml:space="preserve">一、资格部分</w:t>
      </w:r>
      <w:r/>
    </w:p>
    <w:p>
      <w:pPr>
        <w:jc w:val="center"/>
        <w:spacing w:line="460" w:lineRule="exact"/>
        <w:shd w:val="clear" w:color="auto"/>
        <w:widowControl/>
        <w:rPr>
          <w:rFonts w:hint="eastAsia" w:ascii="仿宋" w:hAnsi="仿宋" w:eastAsia="仿宋" w:cs="仿宋"/>
          <w:color w:val="auto"/>
          <w:sz w:val="29"/>
          <w:szCs w:val="20"/>
          <w:highlight w:val="none"/>
        </w:rPr>
      </w:pPr>
      <w:r/>
      <w:bookmarkStart w:id="260" w:name="page44"/>
      <w:r/>
      <w:bookmarkEnd w:id="260"/>
      <w:r>
        <w:rPr>
          <w:rFonts w:hint="eastAsia" w:ascii="仿宋" w:hAnsi="仿宋" w:eastAsia="仿宋" w:cs="仿宋"/>
          <w:color w:val="auto"/>
          <w:sz w:val="29"/>
          <w:szCs w:val="20"/>
          <w:highlight w:val="none"/>
        </w:rPr>
        <w:t xml:space="preserve">（一）磋商承诺函</w:t>
      </w:r>
      <w:r/>
    </w:p>
    <w:p>
      <w:pPr>
        <w:jc w:val="left"/>
        <w:spacing w:line="460" w:lineRule="exact"/>
        <w:shd w:val="clear" w:color="auto"/>
        <w:widowControl/>
        <w:tabs>
          <w:tab w:val="left" w:pos="118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致：</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（磋商组织方）</w:t>
      </w:r>
      <w:r/>
    </w:p>
    <w:p>
      <w:pPr>
        <w:ind w:left="420"/>
        <w:jc w:val="left"/>
        <w:spacing w:line="460" w:lineRule="exact"/>
        <w:shd w:val="clear" w:color="auto"/>
        <w:widowControl/>
        <w:tabs>
          <w:tab w:val="left" w:pos="256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根据贵方关于</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的磋商邀请，我方已完全理解磋商文件的所有内容。</w:t>
      </w:r>
      <w:r/>
    </w:p>
    <w:p>
      <w:pPr>
        <w:ind w:left="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据此函，我方兹宣布同意如下：</w:t>
      </w:r>
      <w:r/>
    </w:p>
    <w:p>
      <w:pPr>
        <w:ind w:right="60"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1.我方承诺：我方完全具备《政府采购法》第二十二条第一款规定的条件以及本项目磋商文件规定的参加磋商供应商须满足的特定条件。</w:t>
      </w:r>
      <w:r/>
    </w:p>
    <w:p>
      <w:pPr>
        <w:ind w:left="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2.我方承诺：参加本次采购活动前三年内，在经营活动中没有重大违法记录。</w:t>
      </w:r>
      <w:r/>
    </w:p>
    <w:p>
      <w:pPr>
        <w:ind w:right="60"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3.我方承诺：我方信用记录中没有被列入失信被执行人、没有被列入重大税收违法案件名单、没有被列入政府采购违法失信行为记录名单。</w:t>
      </w:r>
      <w:r/>
    </w:p>
    <w:p>
      <w:pPr>
        <w:ind w:left="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4.我方承诺按磋商文件要求提供的服务及货物的磋商报价见报价一览表。</w:t>
      </w:r>
      <w:r/>
    </w:p>
    <w:p>
      <w:pPr>
        <w:ind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5．我方承诺根据磋商文件的规定，完成合同义务，并承担责任（如有偏离，在响应文件中另作说明）。</w:t>
      </w:r>
      <w:r/>
    </w:p>
    <w:p>
      <w:pPr>
        <w:ind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6．我方已详读全部磋商文件，包括磋商文件书面修改通知（如有），我方完全理解并同意放弃对这方面不明及误解的权利。</w:t>
      </w:r>
      <w:r/>
    </w:p>
    <w:p>
      <w:pPr>
        <w:ind w:right="200"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7．我方承诺响应文件及所有材料的完整、真实、合法、有效，并对其负责。承诺在磋商期间，如磋商小组对我方提出澄清要求，将及时作出响应，否则自行承担后果。</w:t>
      </w:r>
      <w:r/>
    </w:p>
    <w:p>
      <w:pPr>
        <w:ind w:right="180"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8．我方同意从规定的磋商日期起遵循本磋商文件，并在规定的磋商有效期期满之前均具有约束力。</w:t>
      </w:r>
      <w:r/>
    </w:p>
    <w:p>
      <w:pPr>
        <w:ind w:left="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9．我方同意向贵方提供贵方可能要求的与本磋商有关的任何证据或资料。</w:t>
      </w:r>
      <w:r/>
    </w:p>
    <w:p>
      <w:pPr>
        <w:ind w:right="180"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10.我方知道如用虚假材料或恶意方式向贵方提出质疑，将承担相应的法律责任。同时承诺：我方如果有上述行为，将无条件承担贵方相关的调查论证费用。</w:t>
      </w:r>
      <w:r/>
    </w:p>
    <w:p>
      <w:pPr>
        <w:ind w:left="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11．本次响应文件内容与磋商文件内容偏离见磋商偏离表（如果有）。</w:t>
      </w:r>
      <w:r/>
    </w:p>
    <w:p>
      <w:pPr>
        <w:ind w:left="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12．遵守磋商文件中要求的收费项目和标准。</w:t>
      </w:r>
      <w:r/>
    </w:p>
    <w:p>
      <w:pPr>
        <w:ind w:right="60" w:firstLine="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13．我方将严格遵守《中华人民共和国政府采购法》，若存在违法违规行为，自愿承担相应的法律后果。</w:t>
      </w:r>
      <w:r/>
    </w:p>
    <w:p>
      <w:pPr>
        <w:ind w:left="4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14．与本磋商有关的一切正式往来通讯请寄：</w:t>
      </w:r>
      <w:r/>
    </w:p>
    <w:p>
      <w:pPr>
        <w:ind w:left="3000"/>
        <w:jc w:val="left"/>
        <w:spacing w:line="460" w:lineRule="exact"/>
        <w:shd w:val="clear" w:color="auto"/>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地址：</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电话：</w:t>
      </w:r>
      <w:r/>
    </w:p>
    <w:p>
      <w:pPr>
        <w:ind w:left="3000"/>
        <w:jc w:val="left"/>
        <w:spacing w:line="460" w:lineRule="exact"/>
        <w:shd w:val="clear" w:color="auto"/>
        <w:widowControl/>
        <w:tabs>
          <w:tab w:val="left" w:pos="454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传真：</w:t>
      </w:r>
      <w:r>
        <w:rPr>
          <w:rFonts w:hint="eastAsia" w:ascii="仿宋" w:hAnsi="仿宋" w:eastAsia="仿宋" w:cs="仿宋"/>
          <w:color w:val="auto"/>
          <w:sz w:val="20"/>
          <w:szCs w:val="20"/>
          <w:highlight w:val="none"/>
        </w:rPr>
        <w:tab/>
      </w:r>
      <w:r>
        <w:rPr>
          <w:rFonts w:hint="eastAsia" w:ascii="仿宋" w:hAnsi="仿宋" w:eastAsia="仿宋" w:cs="仿宋"/>
          <w:color w:val="auto"/>
          <w:sz w:val="24"/>
          <w:szCs w:val="20"/>
          <w:highlight w:val="none"/>
        </w:rPr>
        <w:t xml:space="preserve">邮政编码：</w:t>
      </w:r>
      <w:bookmarkStart w:id="261" w:name="page45"/>
      <w:r/>
      <w:bookmarkEnd w:id="261"/>
      <w:r/>
      <w:r/>
    </w:p>
    <w:p>
      <w:pPr>
        <w:ind w:left="3000"/>
        <w:jc w:val="left"/>
        <w:spacing w:line="460" w:lineRule="exact"/>
        <w:shd w:val="clear" w:color="auto"/>
        <w:widowControl/>
        <w:tabs>
          <w:tab w:val="left" w:pos="4540" w:leader="none"/>
        </w:tabs>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供应商（公章）：</w:t>
      </w:r>
      <w:r/>
    </w:p>
    <w:p>
      <w:pPr>
        <w:ind w:firstLine="2990"/>
        <w:jc w:val="left"/>
        <w:spacing w:line="460" w:lineRule="exact"/>
        <w:shd w:val="clear" w:color="auto"/>
        <w:widowControl/>
        <w:rPr>
          <w:rFonts w:hint="eastAsia" w:ascii="仿宋" w:hAnsi="仿宋" w:eastAsia="仿宋" w:cs="仿宋"/>
          <w:color w:val="auto"/>
          <w:sz w:val="23"/>
          <w:szCs w:val="20"/>
          <w:highlight w:val="none"/>
        </w:rPr>
      </w:pPr>
      <w:r>
        <w:rPr>
          <w:rFonts w:hint="eastAsia" w:ascii="仿宋" w:hAnsi="仿宋" w:eastAsia="仿宋" w:cs="仿宋"/>
          <w:color w:val="auto"/>
          <w:sz w:val="23"/>
          <w:szCs w:val="20"/>
          <w:highlight w:val="none"/>
        </w:rPr>
        <w:t xml:space="preserve">法定代表人签章：</w:t>
      </w:r>
      <w:r/>
    </w:p>
    <w:p>
      <w:pPr>
        <w:ind w:left="2839" w:firstLine="120"/>
        <w:jc w:val="left"/>
        <w:spacing w:line="460" w:lineRule="exact"/>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 期：</w:t>
      </w:r>
      <w:r/>
    </w:p>
    <w:p>
      <w:pPr>
        <w:ind w:right="-9"/>
        <w:jc w:val="center"/>
        <w:spacing w:line="0" w:lineRule="atLeast"/>
        <w:shd w:val="clear" w:color="auto"/>
        <w:widowControl/>
        <w:rPr>
          <w:rFonts w:hint="eastAsia" w:ascii="仿宋" w:hAnsi="仿宋" w:eastAsia="仿宋" w:cs="仿宋"/>
          <w:color w:val="auto"/>
          <w:sz w:val="18"/>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62" w:name="page46"/>
      <w:r/>
      <w:bookmarkEnd w:id="262"/>
      <w:r>
        <w:rPr>
          <w:rFonts w:hint="eastAsia" w:ascii="仿宋" w:hAnsi="仿宋" w:eastAsia="仿宋" w:cs="仿宋"/>
          <w:color w:val="auto"/>
          <w:sz w:val="29"/>
          <w:szCs w:val="20"/>
          <w:highlight w:val="none"/>
        </w:rPr>
        <w:t xml:space="preserve">（二）独立承担民事责任的能力</w:t>
      </w:r>
      <w:r/>
    </w:p>
    <w:p>
      <w:pPr>
        <w:ind w:right="-29"/>
        <w:spacing w:line="0" w:lineRule="atLeast"/>
        <w:shd w:val="clear" w:color="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bookmarkStart w:id="263" w:name="page47"/>
      <w:r/>
      <w:bookmarkEnd w:id="263"/>
      <w:r>
        <w:rPr>
          <w:rFonts w:hint="eastAsia" w:ascii="仿宋" w:hAnsi="仿宋" w:eastAsia="仿宋" w:cs="仿宋"/>
          <w:color w:val="auto"/>
          <w:sz w:val="29"/>
          <w:szCs w:val="20"/>
          <w:highlight w:val="none"/>
        </w:rPr>
        <w:t xml:space="preserve">（三）良好的商业信誉和健全的财务会计制度</w:t>
      </w:r>
      <w:r/>
    </w:p>
    <w:p>
      <w:pPr>
        <w:ind w:right="-9"/>
        <w:spacing w:line="360" w:lineRule="auto"/>
        <w:shd w:val="clear" w:color="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jc w:val="left"/>
        <w:spacing w:line="360" w:lineRule="auto"/>
        <w:shd w:val="clear" w:color="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bookmarkStart w:id="264" w:name="page48"/>
      <w:r/>
      <w:bookmarkEnd w:id="264"/>
      <w:r>
        <w:rPr>
          <w:rFonts w:hint="eastAsia" w:ascii="仿宋" w:hAnsi="仿宋" w:eastAsia="仿宋" w:cs="仿宋"/>
          <w:color w:val="auto"/>
          <w:sz w:val="29"/>
          <w:szCs w:val="20"/>
          <w:highlight w:val="none"/>
        </w:rPr>
        <w:t xml:space="preserve">（四）履行合同所必需的设备和专业技术能力</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10"/>
        <w:gridCol w:w="1530"/>
        <w:gridCol w:w="1495"/>
        <w:gridCol w:w="554"/>
        <w:gridCol w:w="137"/>
        <w:gridCol w:w="1245"/>
        <w:gridCol w:w="966"/>
        <w:gridCol w:w="270"/>
        <w:gridCol w:w="1101"/>
        <w:gridCol w:w="1065"/>
      </w:tblGrid>
      <w:tr>
        <w:trPr>
          <w:trHeight w:val="724"/>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gridSpan w:val="9"/>
            <w:tcW w:w="8608"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公司基本信息</w:t>
            </w:r>
            <w:r/>
          </w:p>
        </w:tc>
      </w:tr>
      <w:tr>
        <w:trPr>
          <w:trHeight w:val="976"/>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公司名称</w:t>
            </w:r>
            <w:r/>
          </w:p>
        </w:tc>
        <w:tc>
          <w:tcPr>
            <w:gridSpan w:val="8"/>
            <w:tcW w:w="704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5"/>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注册资金</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公司地址</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003"/>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从业人数</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121"/>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账号</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77"/>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项目联系人</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联系电话</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694"/>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w:t>
            </w:r>
            <w:r/>
          </w:p>
        </w:tc>
        <w:tc>
          <w:tcPr>
            <w:gridSpan w:val="9"/>
            <w:tcW w:w="8608"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公司财务状况</w:t>
            </w:r>
            <w:r/>
          </w:p>
        </w:tc>
      </w:tr>
      <w:tr>
        <w:trPr>
          <w:trHeight w:val="704"/>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p>
        </w:tc>
        <w:tc>
          <w:tcPr>
            <w:gridSpan w:val="9"/>
            <w:tcW w:w="8608"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u w:val="single"/>
                <w:lang w:eastAsia="zh-CN"/>
              </w:rPr>
              <w:t xml:space="preserve">202</w:t>
            </w:r>
            <w:r>
              <w:rPr>
                <w:rFonts w:hint="eastAsia" w:ascii="仿宋" w:hAnsi="仿宋" w:eastAsia="仿宋" w:cs="仿宋"/>
                <w:b/>
                <w:bCs/>
                <w:color w:val="auto"/>
                <w:sz w:val="24"/>
                <w:szCs w:val="24"/>
                <w:highlight w:val="none"/>
                <w:u w:val="single"/>
                <w:lang w:val="en-US" w:eastAsia="zh-CN"/>
              </w:rPr>
              <w:t xml:space="preserve">5</w:t>
            </w:r>
            <w:r>
              <w:rPr>
                <w:rFonts w:hint="eastAsia" w:ascii="仿宋" w:hAnsi="仿宋" w:eastAsia="仿宋" w:cs="仿宋"/>
                <w:b/>
                <w:bCs/>
                <w:color w:val="auto"/>
                <w:sz w:val="24"/>
                <w:szCs w:val="24"/>
                <w:highlight w:val="none"/>
                <w:u w:val="single"/>
                <w:lang w:eastAsia="zh-CN"/>
              </w:rPr>
              <w:t xml:space="preserve">年度</w:t>
            </w:r>
            <w:r>
              <w:rPr>
                <w:rFonts w:hint="eastAsia" w:ascii="仿宋" w:hAnsi="仿宋" w:eastAsia="仿宋" w:cs="仿宋"/>
                <w:b/>
                <w:bCs/>
                <w:color w:val="auto"/>
                <w:sz w:val="24"/>
                <w:szCs w:val="24"/>
                <w:highlight w:val="none"/>
              </w:rPr>
              <w:t xml:space="preserve">财务状况</w:t>
            </w:r>
            <w:r/>
          </w:p>
        </w:tc>
      </w:tr>
      <w:tr>
        <w:trPr>
          <w:trHeight w:val="1111"/>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营业收入（万）</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利润总额（万）</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年末“固定资产合计”（万）</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年末“流动资产”余额（万）</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年末“短期负债”余额（万）</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年末“长期负债”余额（万）</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年末“资产总计”余额（万）</w:t>
            </w:r>
            <w:r/>
          </w:p>
        </w:tc>
        <w:tc>
          <w:tcPr>
            <w:tcW w:w="155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709"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w:t>
            </w:r>
            <w:r/>
          </w:p>
        </w:tc>
        <w:tc>
          <w:tcPr>
            <w:gridSpan w:val="2"/>
            <w:tcW w:w="226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年末“货币资金”余额（万）</w:t>
            </w:r>
            <w:r/>
          </w:p>
        </w:tc>
        <w:tc>
          <w:tcPr>
            <w:gridSpan w:val="3"/>
            <w:tcW w:w="251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733"/>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w:t>
            </w:r>
            <w:r/>
          </w:p>
        </w:tc>
        <w:tc>
          <w:tcPr>
            <w:gridSpan w:val="9"/>
            <w:tcW w:w="8608"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其他信息</w:t>
            </w:r>
            <w:r/>
          </w:p>
        </w:tc>
      </w:tr>
      <w:tr>
        <w:trPr>
          <w:trHeight w:val="1964"/>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公司取得的相关资质及等级</w:t>
            </w:r>
            <w:r/>
          </w:p>
        </w:tc>
        <w:tc>
          <w:tcPr>
            <w:gridSpan w:val="8"/>
            <w:tcW w:w="704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w:t>
            </w:r>
            <w:r/>
          </w:p>
        </w:tc>
        <w:tc>
          <w:tcPr>
            <w:tcW w:w="156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公司 202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年度后获得的荣誉及表彰情况</w:t>
            </w:r>
            <w:r/>
          </w:p>
        </w:tc>
        <w:tc>
          <w:tcPr>
            <w:gridSpan w:val="8"/>
            <w:tcW w:w="704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27"/>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w:t>
            </w:r>
            <w:r/>
          </w:p>
        </w:tc>
        <w:tc>
          <w:tcPr>
            <w:gridSpan w:val="9"/>
            <w:tcW w:w="8608" w:type="dxa"/>
            <w:vAlign w:val="center"/>
            <w:textDirection w:val="lrTb"/>
            <w:noWrap w:val="false"/>
          </w:tcPr>
          <w:p>
            <w:pPr>
              <w:jc w:val="center"/>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提供本项目服务所必须的专业设备一览表（必填）</w:t>
            </w:r>
            <w:r/>
          </w:p>
        </w:tc>
      </w:tr>
      <w:tr>
        <w:trPr>
          <w:trHeight w:val="840"/>
        </w:trPr>
        <w:tc>
          <w:tcPr>
            <w:tcW w:w="8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gridSpan w:val="4"/>
            <w:tcW w:w="4111"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品牌、型号及主要参数配置简述</w:t>
            </w:r>
            <w:r/>
          </w:p>
        </w:tc>
        <w:tc>
          <w:tcPr>
            <w:gridSpan w:val="2"/>
            <w:tcW w:w="14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购置年份</w:t>
            </w:r>
            <w:r/>
          </w:p>
        </w:tc>
        <w:tc>
          <w:tcPr>
            <w:gridSpan w:val="2"/>
            <w:tcW w:w="1276"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价格</w:t>
            </w:r>
            <w:r/>
          </w:p>
        </w:tc>
        <w:tc>
          <w:tcPr>
            <w:tcW w:w="1134"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095"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用途</w:t>
            </w:r>
            <w:r/>
          </w:p>
        </w:tc>
      </w:tr>
      <w:tr>
        <w:trPr>
          <w:trHeight w:val="823"/>
        </w:trPr>
        <w:tc>
          <w:tcPr>
            <w:tcW w:w="8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gridSpan w:val="4"/>
            <w:tcW w:w="4111"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50"/>
        </w:trPr>
        <w:tc>
          <w:tcPr>
            <w:tcW w:w="8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gridSpan w:val="4"/>
            <w:tcW w:w="4111"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33"/>
        </w:trPr>
        <w:tc>
          <w:tcPr>
            <w:tcW w:w="8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gridSpan w:val="4"/>
            <w:tcW w:w="4111"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988"/>
        </w:trPr>
        <w:tc>
          <w:tcPr>
            <w:tcW w:w="8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tc>
        <w:tc>
          <w:tcPr>
            <w:gridSpan w:val="4"/>
            <w:tcW w:w="4111"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417"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gridSpan w:val="2"/>
            <w:tcW w:w="1276"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134"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1095"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845"/>
        </w:trPr>
        <w:tc>
          <w:tcPr>
            <w:gridSpan w:val="2"/>
            <w:tcW w:w="1242"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五</w:t>
            </w:r>
            <w:r/>
          </w:p>
        </w:tc>
        <w:tc>
          <w:tcPr>
            <w:gridSpan w:val="9"/>
            <w:tcW w:w="8608"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 xml:space="preserve">提供本项目服务所必须的专业技术能力（必填）</w:t>
            </w:r>
            <w:r/>
          </w:p>
        </w:tc>
      </w:tr>
      <w:tr>
        <w:trPr>
          <w:trHeight w:val="2261"/>
        </w:trPr>
        <w:tc>
          <w:tcPr>
            <w:gridSpan w:val="11"/>
            <w:tcW w:w="9850" w:type="dxa"/>
            <w:vAlign w:val="center"/>
            <w:textDirection w:val="lrTb"/>
            <w:noWrap w:val="false"/>
          </w:tcPr>
          <w:p>
            <w:pPr>
              <w:jc w:val="center"/>
              <w:spacing w:line="360" w:lineRule="auto"/>
              <w:shd w:val="clear" w:color="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jc w:val="left"/>
        <w:spacing w:line="165" w:lineRule="exact"/>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hd w:val="clear" w:color="auto"/>
        <w:widowControl/>
        <w:rPr>
          <w:rFonts w:hint="eastAsia" w:ascii="仿宋" w:hAnsi="仿宋" w:eastAsia="仿宋" w:cs="仿宋"/>
          <w:color w:val="auto"/>
          <w:sz w:val="24"/>
          <w:szCs w:val="20"/>
          <w:highlight w:val="none"/>
        </w:rPr>
        <w:sectPr>
          <w:footnotePr/>
          <w:endnotePr/>
          <w:type w:val="nextPage"/>
          <w:pgSz w:w="11920" w:h="16845" w:orient="portrait"/>
          <w:pgMar w:top="1440" w:right="1150" w:bottom="668" w:left="1160" w:header="0" w:footer="0" w:gutter="0"/>
          <w:cols w:num="1" w:sep="0" w:space="1701" w:equalWidth="0">
            <w:col w:w="9600" w:space="0"/>
          </w:cols>
          <w:docGrid w:linePitch="360"/>
        </w:sectPr>
      </w:pPr>
      <w:r>
        <w:rPr>
          <w:rFonts w:hint="eastAsia" w:ascii="仿宋" w:hAnsi="仿宋" w:eastAsia="仿宋" w:cs="仿宋"/>
          <w:color w:val="auto"/>
          <w:sz w:val="24"/>
          <w:szCs w:val="20"/>
          <w:highlight w:val="none"/>
        </w:rPr>
      </w:r>
      <w:r/>
    </w:p>
    <w:p>
      <w:pPr>
        <w:ind w:right="-169"/>
        <w:jc w:val="center"/>
        <w:spacing w:line="0" w:lineRule="atLeast"/>
        <w:shd w:val="clear" w:color="auto"/>
        <w:widowControl/>
        <w:rPr>
          <w:rFonts w:hint="eastAsia" w:ascii="仿宋" w:hAnsi="仿宋" w:eastAsia="仿宋" w:cs="仿宋"/>
          <w:color w:val="auto"/>
          <w:sz w:val="18"/>
          <w:szCs w:val="20"/>
          <w:highlight w:val="none"/>
        </w:rPr>
        <w:sectPr>
          <w:footnotePr/>
          <w:endnotePr/>
          <w:type w:val="continuous"/>
          <w:pgSz w:w="11920" w:h="16845" w:orient="portrait"/>
          <w:pgMar w:top="1440" w:right="1440" w:bottom="668" w:left="1280" w:header="0" w:footer="0" w:gutter="0"/>
          <w:cols w:num="1" w:sep="0" w:space="1701" w:equalWidth="0">
            <w:col w:w="9190" w:space="0"/>
          </w:cols>
          <w:docGrid w:linePitch="360"/>
        </w:sectPr>
      </w:pPr>
      <w:r/>
      <w:bookmarkStart w:id="265" w:name="page49"/>
      <w:r/>
      <w:bookmarkEnd w:id="265"/>
      <w:r/>
      <w:r/>
    </w:p>
    <w:p>
      <w:pPr>
        <w:jc w:val="center"/>
        <w:spacing w:line="360" w:lineRule="auto"/>
        <w:shd w:val="clear" w:color="auto"/>
        <w:widowControl/>
        <w:rPr>
          <w:rFonts w:hint="eastAsia" w:ascii="仿宋" w:hAnsi="仿宋" w:eastAsia="仿宋" w:cs="仿宋"/>
          <w:color w:val="auto"/>
          <w:sz w:val="29"/>
          <w:szCs w:val="20"/>
          <w:highlight w:val="none"/>
        </w:rPr>
      </w:pPr>
      <w:r/>
      <w:bookmarkStart w:id="266" w:name="page50"/>
      <w:r/>
      <w:bookmarkEnd w:id="266"/>
      <w:r>
        <w:rPr>
          <w:rFonts w:hint="eastAsia" w:ascii="仿宋" w:hAnsi="仿宋" w:eastAsia="仿宋" w:cs="仿宋"/>
          <w:color w:val="auto"/>
          <w:sz w:val="29"/>
          <w:szCs w:val="20"/>
          <w:highlight w:val="none"/>
        </w:rPr>
        <w:t xml:space="preserve">（五）依法缴纳税收和社会保障资金的良好记录</w:t>
      </w:r>
      <w:r/>
    </w:p>
    <w:p>
      <w:pPr>
        <w:ind w:right="-9"/>
        <w:spacing w:line="360" w:lineRule="auto"/>
        <w:shd w:val="clear" w:color="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360" w:lineRule="auto"/>
        <w:shd w:val="clear" w:color="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bookmarkStart w:id="267" w:name="page51"/>
      <w:r/>
      <w:bookmarkEnd w:id="267"/>
      <w:r>
        <w:rPr>
          <w:rFonts w:hint="eastAsia" w:ascii="仿宋" w:hAnsi="仿宋" w:eastAsia="仿宋" w:cs="仿宋"/>
          <w:color w:val="auto"/>
          <w:sz w:val="29"/>
          <w:szCs w:val="20"/>
          <w:highlight w:val="none"/>
        </w:rPr>
        <w:t xml:space="preserve">（六）法律、行政法规规定的其他条件</w:t>
      </w:r>
      <w:r/>
    </w:p>
    <w:p>
      <w:pPr>
        <w:ind w:right="10"/>
        <w:spacing w:line="352" w:lineRule="exact"/>
        <w:shd w:val="clear" w:color="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ind w:right="-29"/>
        <w:spacing w:line="0" w:lineRule="atLeast"/>
        <w:shd w:val="clear" w:color="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bookmarkStart w:id="268" w:name="page52"/>
      <w:r/>
      <w:bookmarkEnd w:id="268"/>
      <w:r>
        <w:rPr>
          <w:rFonts w:hint="eastAsia" w:ascii="仿宋" w:hAnsi="仿宋" w:eastAsia="仿宋" w:cs="仿宋"/>
          <w:color w:val="auto"/>
          <w:sz w:val="29"/>
          <w:szCs w:val="20"/>
          <w:highlight w:val="none"/>
        </w:rPr>
        <w:t xml:space="preserve">（七）落实政府采购政策需满足的资格要求</w:t>
      </w:r>
      <w:r/>
    </w:p>
    <w:p>
      <w:pPr>
        <w:ind w:right="-29"/>
        <w:spacing w:line="360" w:lineRule="auto"/>
        <w:shd w:val="clear" w:color="auto"/>
        <w:widowControl/>
        <w:rPr>
          <w:rFonts w:hint="eastAsia" w:ascii="仿宋" w:hAnsi="仿宋" w:eastAsia="仿宋" w:cs="仿宋"/>
          <w:color w:val="auto"/>
          <w:sz w:val="17"/>
          <w:szCs w:val="20"/>
          <w:highlight w:val="none"/>
        </w:rPr>
        <w:sectPr>
          <w:footnotePr/>
          <w:endnotePr/>
          <w:type w:val="continuous"/>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17"/>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bookmarkStart w:id="269" w:name="page53"/>
      <w:r/>
      <w:bookmarkEnd w:id="269"/>
      <w:r>
        <w:rPr>
          <w:rFonts w:hint="eastAsia" w:ascii="仿宋" w:hAnsi="仿宋" w:eastAsia="仿宋" w:cs="仿宋"/>
          <w:color w:val="auto"/>
          <w:sz w:val="29"/>
          <w:szCs w:val="20"/>
          <w:highlight w:val="none"/>
        </w:rPr>
        <w:t xml:space="preserve">（八）本项目的特定资格要求</w:t>
      </w:r>
      <w:r/>
    </w:p>
    <w:p>
      <w:pPr>
        <w:ind w:right="-9"/>
        <w:jc w:val="center"/>
        <w:spacing w:line="352" w:lineRule="exact"/>
        <w:shd w:val="clear" w:color="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（九）法定代表人（负责人）身份证明书</w:t>
      </w:r>
      <w:r/>
    </w:p>
    <w:p>
      <w:pPr>
        <w:ind w:firstLine="560"/>
        <w:jc w:val="left"/>
        <w:spacing w:before="240" w:after="240"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兹证明</w:t>
      </w:r>
      <w:r>
        <w:rPr>
          <w:rFonts w:hint="eastAsia" w:ascii="仿宋" w:hAnsi="仿宋" w:eastAsia="仿宋" w:cs="仿宋"/>
          <w:color w:val="auto"/>
          <w:sz w:val="28"/>
          <w:szCs w:val="28"/>
          <w:highlight w:val="none"/>
          <w:u w:val="single"/>
        </w:rPr>
        <w:t xml:space="preserve">（姓名） </w:t>
      </w:r>
      <w:r>
        <w:rPr>
          <w:rFonts w:hint="eastAsia" w:ascii="仿宋" w:hAnsi="仿宋" w:eastAsia="仿宋" w:cs="仿宋"/>
          <w:color w:val="auto"/>
          <w:sz w:val="28"/>
          <w:szCs w:val="28"/>
          <w:highlight w:val="none"/>
        </w:rPr>
        <w:t xml:space="preserve">同志，性别</w:t>
      </w:r>
      <w:r>
        <w:rPr>
          <w:rFonts w:hint="eastAsia" w:ascii="仿宋" w:hAnsi="仿宋" w:eastAsia="仿宋" w:cs="仿宋"/>
          <w:color w:val="auto"/>
          <w:sz w:val="28"/>
          <w:szCs w:val="28"/>
          <w:highlight w:val="none"/>
          <w:u w:val="single"/>
        </w:rPr>
        <w:t xml:space="preserve"> （男/女） </w:t>
      </w:r>
      <w:r>
        <w:rPr>
          <w:rFonts w:hint="eastAsia" w:ascii="仿宋" w:hAnsi="仿宋" w:eastAsia="仿宋" w:cs="仿宋"/>
          <w:color w:val="auto"/>
          <w:sz w:val="28"/>
          <w:szCs w:val="28"/>
          <w:highlight w:val="none"/>
        </w:rPr>
        <w:t xml:space="preserve">，居民身份证号</w:t>
      </w:r>
      <w:r>
        <w:rPr>
          <w:rFonts w:hint="eastAsia" w:ascii="仿宋" w:hAnsi="仿宋" w:eastAsia="仿宋" w:cs="仿宋"/>
          <w:color w:val="auto"/>
          <w:sz w:val="28"/>
          <w:szCs w:val="28"/>
          <w:highlight w:val="none"/>
          <w:u w:val="single"/>
        </w:rPr>
        <w:t xml:space="preserve"> （身份证号码） </w:t>
      </w:r>
      <w:r>
        <w:rPr>
          <w:rFonts w:hint="eastAsia" w:ascii="仿宋" w:hAnsi="仿宋" w:eastAsia="仿宋" w:cs="仿宋"/>
          <w:color w:val="auto"/>
          <w:sz w:val="28"/>
          <w:szCs w:val="28"/>
          <w:highlight w:val="none"/>
        </w:rPr>
        <w:t xml:space="preserve">，在我单位任</w:t>
      </w:r>
      <w:r>
        <w:rPr>
          <w:rFonts w:hint="eastAsia" w:ascii="仿宋" w:hAnsi="仿宋" w:eastAsia="仿宋" w:cs="仿宋"/>
          <w:color w:val="auto"/>
          <w:sz w:val="28"/>
          <w:szCs w:val="28"/>
          <w:highlight w:val="none"/>
          <w:u w:val="single"/>
        </w:rPr>
        <w:t xml:space="preserve"> （职务）</w:t>
      </w:r>
      <w:r>
        <w:rPr>
          <w:rFonts w:hint="eastAsia" w:ascii="仿宋" w:hAnsi="仿宋" w:eastAsia="仿宋" w:cs="仿宋"/>
          <w:color w:val="auto"/>
          <w:sz w:val="28"/>
          <w:szCs w:val="28"/>
          <w:highlight w:val="none"/>
        </w:rPr>
        <w:t xml:space="preserve">，系我单位主要负责人即法定代表人。</w:t>
      </w:r>
      <w:r/>
    </w:p>
    <w:p>
      <w:pPr>
        <w:ind w:firstLine="560"/>
        <w:jc w:val="left"/>
        <w:spacing w:before="240" w:after="240"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单位全称：</w:t>
      </w:r>
      <w:r>
        <w:rPr>
          <w:rFonts w:hint="eastAsia" w:ascii="仿宋" w:hAnsi="仿宋" w:eastAsia="仿宋" w:cs="仿宋"/>
          <w:b/>
          <w:bCs/>
          <w:color w:val="auto"/>
          <w:sz w:val="24"/>
          <w:szCs w:val="24"/>
          <w:highlight w:val="none"/>
          <w:u w:val="single"/>
        </w:rPr>
        <w:t xml:space="preserve">××</w:t>
      </w:r>
      <w:r/>
    </w:p>
    <w:p>
      <w:pPr>
        <w:ind w:firstLine="560"/>
        <w:jc w:val="left"/>
        <w:spacing w:before="240" w:after="240"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单位盖章：</w:t>
      </w:r>
      <w:r>
        <w:rPr>
          <w:rFonts w:hint="eastAsia" w:ascii="仿宋" w:hAnsi="仿宋" w:eastAsia="仿宋" w:cs="仿宋"/>
          <w:b/>
          <w:bCs/>
          <w:color w:val="auto"/>
          <w:sz w:val="24"/>
          <w:szCs w:val="24"/>
          <w:highlight w:val="none"/>
          <w:u w:val="single"/>
        </w:rPr>
        <w:t xml:space="preserve">××</w:t>
      </w:r>
      <w:r/>
    </w:p>
    <w:p>
      <w:pPr>
        <w:ind w:firstLine="560"/>
        <w:jc w:val="center"/>
        <w:spacing w:before="240" w:after="240"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年     月    日</w:t>
      </w:r>
      <w:r/>
    </w:p>
    <w:p>
      <w:pPr>
        <w:ind w:firstLine="560"/>
        <w:jc w:val="left"/>
        <w:spacing w:before="240" w:after="240" w:line="360" w:lineRule="auto"/>
        <w:shd w:val="clear" w:color="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spacing w:before="240" w:after="240"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32"/>
          <w:szCs w:val="32"/>
          <w:highlight w:val="none"/>
        </w:rPr>
        <w:t xml:space="preserve">附：法定代表人居民身份证扫描件</w:t>
      </w:r>
      <w:r/>
    </w:p>
    <w:p>
      <w:pPr>
        <w:ind w:firstLine="560"/>
        <w:jc w:val="left"/>
        <w:spacing w:before="240" w:after="240" w:line="360" w:lineRule="auto"/>
        <w:shd w:val="clear" w:color="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u w:val="single"/>
        </w:rPr>
        <w:t xml:space="preserve">注：1.“法定代表人”直接参加磋商响应活动的仅需填写本身份证明</w:t>
      </w:r>
      <w:r>
        <w:rPr>
          <w:rFonts w:hint="eastAsia" w:ascii="仿宋" w:hAnsi="仿宋" w:eastAsia="仿宋" w:cs="仿宋"/>
          <w:color w:val="auto"/>
          <w:sz w:val="28"/>
          <w:szCs w:val="28"/>
          <w:highlight w:val="none"/>
        </w:rPr>
        <w:t xml:space="preserve">。</w:t>
      </w:r>
      <w:r/>
    </w:p>
    <w:p>
      <w:pPr>
        <w:ind w:firstLine="562"/>
        <w:jc w:val="left"/>
        <w:spacing w:before="240" w:after="240" w:line="360" w:lineRule="auto"/>
        <w:shd w:val="clear" w:color="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firstLine="562"/>
        <w:jc w:val="left"/>
        <w:spacing w:before="240" w:after="240" w:line="360" w:lineRule="auto"/>
        <w:shd w:val="clear" w:color="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shd w:val="clear" w:color="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left"/>
        <w:spacing w:before="240" w:after="240" w:line="360" w:lineRule="auto"/>
        <w:shd w:val="clear" w:color="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shd w:val="clear" w:color="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after="240" w:line="360" w:lineRule="auto"/>
        <w:shd w:val="clear" w:color="auto"/>
        <w:widowControl/>
        <w:tabs>
          <w:tab w:val="left" w:pos="729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9"/>
          <w:szCs w:val="20"/>
          <w:highlight w:val="none"/>
        </w:rPr>
        <w:t xml:space="preserve">（十）</w:t>
      </w:r>
      <w:r>
        <w:rPr>
          <w:rFonts w:hint="eastAsia" w:ascii="仿宋" w:hAnsi="仿宋" w:eastAsia="仿宋" w:cs="仿宋"/>
          <w:color w:val="auto"/>
          <w:sz w:val="28"/>
          <w:szCs w:val="28"/>
          <w:highlight w:val="none"/>
        </w:rPr>
        <w:t xml:space="preserve">法定代表人（负责人）授权委托书</w:t>
      </w:r>
      <w:r/>
    </w:p>
    <w:p>
      <w:pPr>
        <w:ind w:right="420" w:firstLine="560"/>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本授权书声明：</w:t>
      </w:r>
      <w:r>
        <w:rPr>
          <w:rFonts w:hint="eastAsia" w:ascii="仿宋" w:hAnsi="仿宋" w:eastAsia="仿宋" w:cs="仿宋"/>
          <w:color w:val="auto"/>
          <w:sz w:val="28"/>
          <w:szCs w:val="28"/>
          <w:highlight w:val="none"/>
          <w:u w:val="single"/>
        </w:rPr>
        <w:t xml:space="preserve"> （供应商名称） </w:t>
      </w:r>
      <w:r>
        <w:rPr>
          <w:rFonts w:hint="eastAsia" w:ascii="仿宋" w:hAnsi="仿宋" w:eastAsia="仿宋" w:cs="仿宋"/>
          <w:color w:val="auto"/>
          <w:sz w:val="28"/>
          <w:szCs w:val="28"/>
          <w:highlight w:val="none"/>
        </w:rPr>
        <w:t xml:space="preserve">法定代表人（负责人）</w:t>
      </w:r>
      <w:r>
        <w:rPr>
          <w:rFonts w:hint="eastAsia" w:ascii="仿宋" w:hAnsi="仿宋" w:eastAsia="仿宋" w:cs="仿宋"/>
          <w:color w:val="auto"/>
          <w:sz w:val="28"/>
          <w:szCs w:val="28"/>
          <w:highlight w:val="none"/>
          <w:u w:val="single"/>
        </w:rPr>
        <w:t xml:space="preserve"> （姓名） </w:t>
      </w:r>
      <w:r>
        <w:rPr>
          <w:rFonts w:hint="eastAsia" w:ascii="仿宋" w:hAnsi="仿宋" w:eastAsia="仿宋" w:cs="仿宋"/>
          <w:color w:val="auto"/>
          <w:sz w:val="28"/>
          <w:szCs w:val="28"/>
          <w:highlight w:val="none"/>
        </w:rPr>
        <w:t xml:space="preserve">授权</w:t>
      </w:r>
      <w:r>
        <w:rPr>
          <w:rFonts w:hint="eastAsia" w:ascii="仿宋" w:hAnsi="仿宋" w:eastAsia="仿宋" w:cs="仿宋"/>
          <w:color w:val="auto"/>
          <w:sz w:val="28"/>
          <w:szCs w:val="28"/>
          <w:highlight w:val="none"/>
          <w:u w:val="single"/>
        </w:rPr>
        <w:t xml:space="preserve">（委托代理人的姓名、职务）</w:t>
      </w:r>
      <w:r>
        <w:rPr>
          <w:rFonts w:hint="eastAsia" w:ascii="仿宋" w:hAnsi="仿宋" w:eastAsia="仿宋" w:cs="仿宋"/>
          <w:color w:val="auto"/>
          <w:sz w:val="28"/>
          <w:szCs w:val="28"/>
          <w:highlight w:val="none"/>
        </w:rPr>
        <w:t xml:space="preserve">为我方就</w:t>
      </w:r>
      <w:r>
        <w:rPr>
          <w:rFonts w:hint="eastAsia" w:ascii="仿宋" w:hAnsi="仿宋" w:eastAsia="仿宋" w:cs="仿宋"/>
          <w:color w:val="auto"/>
          <w:sz w:val="28"/>
          <w:szCs w:val="28"/>
          <w:highlight w:val="none"/>
          <w:u w:val="single"/>
        </w:rPr>
        <w:t xml:space="preserve">××××（代理机构）代理的××××（项目编号、项目名称）</w:t>
      </w:r>
      <w:r>
        <w:rPr>
          <w:rFonts w:hint="eastAsia" w:ascii="仿宋" w:hAnsi="仿宋" w:eastAsia="仿宋" w:cs="仿宋"/>
          <w:color w:val="auto"/>
          <w:sz w:val="28"/>
          <w:szCs w:val="28"/>
          <w:highlight w:val="none"/>
        </w:rPr>
        <w:t xml:space="preserve">项目的磋商活动的合法代理人，以本单位名义全权处理一切与该项目磋商有关的事务（含合同签订）。</w:t>
      </w:r>
      <w:r/>
    </w:p>
    <w:p>
      <w:pPr>
        <w:ind w:firstLine="560"/>
        <w:spacing w:line="360" w:lineRule="auto"/>
        <w:shd w:val="clear" w:color="auto"/>
        <w:widowControl/>
        <w:tabs>
          <w:tab w:val="left" w:pos="5561" w:leader="none"/>
        </w:tabs>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ab/>
      </w:r>
      <w:r/>
    </w:p>
    <w:p>
      <w:pPr>
        <w:jc w:val="left"/>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本授权委托书于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日在相应位置签字或盖章后生效，特此声明。</w:t>
      </w:r>
      <w:r/>
    </w:p>
    <w:p>
      <w:pPr>
        <w:spacing w:line="360" w:lineRule="auto"/>
        <w:shd w:val="clear" w:color="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法定代表人（负责人）签章</w:t>
      </w:r>
      <w:r>
        <w:rPr>
          <w:rFonts w:hint="eastAsia" w:ascii="仿宋" w:hAnsi="仿宋" w:eastAsia="仿宋" w:cs="仿宋"/>
          <w:color w:val="auto"/>
          <w:sz w:val="28"/>
          <w:szCs w:val="28"/>
          <w:highlight w:val="none"/>
          <w:u w:val="single"/>
        </w:rPr>
        <w:t xml:space="preserve">：             </w:t>
      </w:r>
      <w:r/>
    </w:p>
    <w:p>
      <w:pPr>
        <w:ind w:firstLine="560"/>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560"/>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供应商名称（公章）：</w:t>
      </w:r>
      <w:r/>
    </w:p>
    <w:p>
      <w:pPr>
        <w:ind w:firstLine="560"/>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日     期：</w:t>
      </w:r>
      <w:r/>
    </w:p>
    <w:p>
      <w:pPr>
        <w:ind w:firstLine="643"/>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32"/>
          <w:szCs w:val="32"/>
          <w:highlight w:val="none"/>
        </w:rPr>
        <w:t xml:space="preserve">附：委托代理人居民身份证扫描件</w:t>
      </w:r>
      <w:r/>
    </w:p>
    <w:p>
      <w:pPr>
        <w:pStyle w:val="962"/>
        <w:spacing w:line="360" w:lineRule="auto"/>
        <w:shd w:val="clear" w:color="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u w:val="single"/>
        </w:rPr>
        <w:t xml:space="preserve">注：“法定代表人（负责人）”授权委托其他人（必须为供应商正式员工，证明材料：劳动合同、近半年</w:t>
      </w:r>
      <w:r>
        <w:rPr>
          <w:rFonts w:hint="eastAsia" w:ascii="仿宋" w:hAnsi="仿宋" w:eastAsia="仿宋" w:cs="仿宋"/>
          <w:color w:val="auto"/>
          <w:sz w:val="28"/>
          <w:szCs w:val="28"/>
          <w:highlight w:val="none"/>
          <w:u w:val="single"/>
          <w:lang w:eastAsia="zh-CN"/>
        </w:rPr>
        <w:t xml:space="preserve">任意一个月</w:t>
      </w:r>
      <w:r>
        <w:rPr>
          <w:rFonts w:hint="eastAsia" w:ascii="仿宋" w:hAnsi="仿宋" w:eastAsia="仿宋" w:cs="仿宋"/>
          <w:color w:val="auto"/>
          <w:sz w:val="28"/>
          <w:szCs w:val="28"/>
          <w:highlight w:val="none"/>
          <w:u w:val="single"/>
        </w:rPr>
        <w:t xml:space="preserve">社保证明材料附后</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lang w:val="en-US" w:eastAsia="zh-CN"/>
        </w:rPr>
        <w:t xml:space="preserve">如为退休人员提供证明材料</w:t>
      </w:r>
      <w:r>
        <w:rPr>
          <w:rFonts w:hint="eastAsia" w:ascii="仿宋" w:hAnsi="仿宋" w:eastAsia="仿宋" w:cs="仿宋"/>
          <w:color w:val="auto"/>
          <w:sz w:val="28"/>
          <w:szCs w:val="28"/>
          <w:highlight w:val="none"/>
          <w:u w:val="single"/>
        </w:rPr>
        <w:t xml:space="preserve">）磋商的，须填写法定代表人身份证明书和本授权委托书</w:t>
      </w:r>
      <w:r>
        <w:rPr>
          <w:rFonts w:hint="eastAsia" w:ascii="仿宋" w:hAnsi="仿宋" w:eastAsia="仿宋" w:cs="仿宋"/>
          <w:color w:val="auto"/>
          <w:sz w:val="28"/>
          <w:szCs w:val="28"/>
          <w:highlight w:val="none"/>
        </w:rPr>
        <w:t xml:space="preserve">。</w:t>
      </w:r>
      <w:r/>
    </w:p>
    <w:p>
      <w:pPr>
        <w:pStyle w:val="962"/>
        <w:spacing w:line="360" w:lineRule="auto"/>
        <w:shd w:val="clear" w:color="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62"/>
        <w:spacing w:line="360" w:lineRule="auto"/>
        <w:shd w:val="clear" w:color="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62"/>
        <w:spacing w:line="360" w:lineRule="auto"/>
        <w:shd w:val="clear" w:color="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pStyle w:val="962"/>
        <w:spacing w:line="360" w:lineRule="auto"/>
        <w:shd w:val="clear" w:color="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pStyle w:val="962"/>
        <w:spacing w:line="360" w:lineRule="auto"/>
        <w:shd w:val="clear" w:color="auto"/>
        <w:rPr>
          <w:rFonts w:hint="eastAsia" w:ascii="仿宋" w:hAnsi="仿宋" w:eastAsia="仿宋" w:cs="仿宋"/>
          <w:color w:val="auto"/>
          <w:sz w:val="28"/>
          <w:szCs w:val="28"/>
          <w:highlight w:val="none"/>
          <w:u w:val="single"/>
        </w:rPr>
        <w:outlineLvl w:val="1"/>
      </w:pPr>
      <w:r>
        <w:rPr>
          <w:rFonts w:hint="eastAsia" w:ascii="仿宋" w:hAnsi="仿宋" w:eastAsia="仿宋" w:cs="仿宋"/>
          <w:color w:val="auto"/>
          <w:sz w:val="28"/>
          <w:szCs w:val="28"/>
          <w:highlight w:val="none"/>
          <w:u w:val="single"/>
        </w:rPr>
      </w:r>
      <w:r/>
    </w:p>
    <w:p>
      <w:pPr>
        <w:shd w:val="clear" w:color="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hd w:val="clear" w:color="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（十一）资格承诺函</w:t>
      </w:r>
      <w:r/>
    </w:p>
    <w:p>
      <w:pPr>
        <w:jc w:val="center"/>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44"/>
          <w:szCs w:val="44"/>
          <w:highlight w:val="none"/>
          <w:shd w:val="clear" w:color="auto" w:fill="ffffff"/>
        </w:rPr>
        <w:t xml:space="preserve"> </w:t>
      </w:r>
      <w:r/>
    </w:p>
    <w:p>
      <w:pPr>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致：</w:t>
      </w:r>
      <w:r>
        <w:rPr>
          <w:rFonts w:hint="eastAsia" w:ascii="仿宋" w:hAnsi="仿宋" w:eastAsia="仿宋" w:cs="仿宋"/>
          <w:color w:val="auto"/>
          <w:sz w:val="28"/>
          <w:szCs w:val="28"/>
          <w:highlight w:val="none"/>
          <w:u w:val="single"/>
          <w:shd w:val="clear" w:color="auto" w:fill="ffffff"/>
        </w:rPr>
        <w:t xml:space="preserve">    （采购人、采购代理机构）   </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我单位参与</w:t>
      </w:r>
      <w:r>
        <w:rPr>
          <w:rFonts w:hint="eastAsia" w:ascii="仿宋" w:hAnsi="仿宋" w:eastAsia="仿宋" w:cs="仿宋"/>
          <w:color w:val="auto"/>
          <w:sz w:val="28"/>
          <w:szCs w:val="28"/>
          <w:highlight w:val="none"/>
          <w:u w:val="single"/>
          <w:shd w:val="clear" w:color="auto" w:fill="ffffff"/>
        </w:rPr>
        <w:t xml:space="preserve">  （项目名称）  （项目编号：    ）</w:t>
      </w:r>
      <w:r>
        <w:rPr>
          <w:rFonts w:hint="eastAsia" w:ascii="仿宋" w:hAnsi="仿宋" w:eastAsia="仿宋" w:cs="仿宋"/>
          <w:color w:val="auto"/>
          <w:sz w:val="28"/>
          <w:szCs w:val="28"/>
          <w:highlight w:val="none"/>
          <w:shd w:val="clear" w:color="auto" w:fill="ffffff"/>
        </w:rPr>
        <w:t xml:space="preserve">项目的政府采购活动，现承诺如下：</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1.我方具有独立承担民事责任的能力。</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2.我方具有良好的商业信誉和健全的财务会计制度。</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3.我方具有履行合同所必需的设备和专业技术能力。</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4.我方具有依法缴纳税收和社会保障资金的良好记录。</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5. 我方参加本项目采购活动前三年内，在经营活动中没有重大违法记录。</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若我单位承诺不实，自愿承担提供虚假材料谋取中标、成交的法律责任。</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投标（响应）供应商（全称并盖章）：</w:t>
      </w:r>
      <w:r>
        <w:rPr>
          <w:rFonts w:hint="eastAsia" w:ascii="仿宋" w:hAnsi="仿宋" w:eastAsia="仿宋" w:cs="仿宋"/>
          <w:color w:val="auto"/>
          <w:sz w:val="28"/>
          <w:szCs w:val="28"/>
          <w:highlight w:val="none"/>
          <w:u w:val="single"/>
          <w:shd w:val="clear" w:color="auto" w:fill="ffffff"/>
        </w:rPr>
        <w:t xml:space="preserve">        </w:t>
      </w:r>
      <w:r>
        <w:rPr>
          <w:rFonts w:hint="eastAsia" w:ascii="仿宋" w:hAnsi="仿宋" w:eastAsia="仿宋" w:cs="仿宋"/>
          <w:color w:val="auto"/>
          <w:sz w:val="28"/>
          <w:szCs w:val="28"/>
          <w:highlight w:val="none"/>
          <w:shd w:val="clear" w:color="auto" w:fill="ffffff"/>
        </w:rPr>
        <w:t xml:space="preserve"> </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供应商法定代表人或授权代表（签字或签章）：</w:t>
      </w:r>
      <w:r>
        <w:rPr>
          <w:rFonts w:hint="eastAsia" w:ascii="仿宋" w:hAnsi="仿宋" w:eastAsia="仿宋" w:cs="仿宋"/>
          <w:color w:val="auto"/>
          <w:sz w:val="28"/>
          <w:szCs w:val="28"/>
          <w:highlight w:val="none"/>
          <w:u w:val="single"/>
          <w:shd w:val="clear" w:color="auto" w:fill="ffffff"/>
        </w:rPr>
        <w:t xml:space="preserve">    </w:t>
      </w:r>
      <w:r/>
    </w:p>
    <w:p>
      <w:pPr>
        <w:ind w:firstLine="640"/>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日期：</w:t>
      </w:r>
      <w:r>
        <w:rPr>
          <w:rFonts w:hint="eastAsia" w:ascii="仿宋" w:hAnsi="仿宋" w:eastAsia="仿宋" w:cs="仿宋"/>
          <w:color w:val="auto"/>
          <w:sz w:val="28"/>
          <w:szCs w:val="28"/>
          <w:highlight w:val="none"/>
          <w:u w:val="single"/>
          <w:shd w:val="clear" w:color="auto" w:fill="ffffff"/>
        </w:rPr>
        <w:t xml:space="preserve">     </w:t>
      </w:r>
      <w:r/>
    </w:p>
    <w:p>
      <w:pPr>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w:t>
      </w:r>
      <w:r/>
    </w:p>
    <w:p>
      <w:pPr>
        <w:jc w:val="left"/>
        <w:spacing w:line="559" w:lineRule="atLeas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shd w:val="clear" w:color="auto" w:fill="ffffff"/>
        </w:rPr>
        <w:t xml:space="preserve">说明：1.供应商可自行选择是否提供本承诺函，若不提供本承诺函的，应按采购文件要求提供相应的证明材料。</w:t>
      </w:r>
      <w:r/>
    </w:p>
    <w:p>
      <w:pPr>
        <w:pStyle w:val="962"/>
        <w:shd w:val="clear" w:color="auto"/>
        <w:rPr>
          <w:rFonts w:hint="eastAsia" w:ascii="仿宋" w:hAnsi="仿宋" w:eastAsia="仿宋" w:cs="仿宋"/>
          <w:color w:val="auto"/>
          <w:highlight w:val="none"/>
        </w:rPr>
        <w:outlineLvl w:val="1"/>
      </w:pPr>
      <w:r>
        <w:rPr>
          <w:rFonts w:hint="eastAsia" w:ascii="仿宋" w:hAnsi="仿宋" w:eastAsia="仿宋" w:cs="仿宋"/>
          <w:color w:val="auto"/>
          <w:sz w:val="28"/>
          <w:szCs w:val="28"/>
          <w:highlight w:val="none"/>
        </w:rPr>
        <w:t xml:space="preserve">2.供应商可删减承诺事项，删减的承诺事项须按采购文件要求提供相应的证明材料。比如删去本承诺函第4项的，则应按采购文件要求提供依法缴纳税收和社会保障资金的良好记录。</w:t>
      </w:r>
      <w:r>
        <w:rPr>
          <w:rFonts w:hint="eastAsia" w:ascii="仿宋" w:hAnsi="仿宋" w:eastAsia="仿宋" w:cs="仿宋"/>
          <w:color w:val="auto"/>
          <w:highlight w:val="none"/>
        </w:rPr>
        <w:t xml:space="preserve"> </w:t>
      </w:r>
      <w:r/>
    </w:p>
    <w:p>
      <w:pPr>
        <w:pStyle w:val="962"/>
        <w:shd w:val="clear" w:color="auto"/>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62"/>
        <w:shd w:val="clear" w:color="auto"/>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62"/>
        <w:shd w:val="clear" w:color="auto"/>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62"/>
        <w:shd w:val="clear" w:color="auto"/>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62"/>
        <w:shd w:val="clear" w:color="auto"/>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62"/>
        <w:shd w:val="clear" w:color="auto"/>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962"/>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t xml:space="preserve">二、技术部分</w:t>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29"/>
          <w:highlight w:val="none"/>
        </w:rPr>
        <w:outlineLvl w:val="1"/>
      </w:pPr>
      <w:r>
        <w:rPr>
          <w:rFonts w:hint="eastAsia" w:ascii="仿宋" w:hAnsi="仿宋" w:eastAsia="仿宋" w:cs="仿宋"/>
          <w:color w:val="auto"/>
          <w:sz w:val="29"/>
          <w:highlight w:val="none"/>
        </w:rPr>
        <w:t xml:space="preserve">（一）技术方案</w:t>
      </w:r>
      <w:bookmarkEnd w:id="258"/>
      <w:r/>
      <w:bookmarkEnd w:id="259"/>
      <w:r/>
      <w:bookmarkStart w:id="270" w:name="_Toc256000068"/>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pStyle w:val="962"/>
        <w:jc w:val="center"/>
        <w:shd w:val="clear" w:color="auto"/>
        <w:rPr>
          <w:rFonts w:hint="eastAsia" w:ascii="仿宋" w:hAnsi="仿宋" w:eastAsia="仿宋" w:cs="仿宋"/>
          <w:color w:val="auto"/>
          <w:sz w:val="32"/>
          <w:highlight w:val="none"/>
        </w:rPr>
        <w:outlineLvl w:val="1"/>
      </w:pPr>
      <w:r>
        <w:rPr>
          <w:rFonts w:hint="eastAsia" w:ascii="仿宋" w:hAnsi="仿宋" w:eastAsia="仿宋" w:cs="仿宋"/>
          <w:color w:val="auto"/>
          <w:sz w:val="32"/>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t xml:space="preserve">三、商务部分</w:t>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bookmarkEnd w:id="270"/>
      <w:r/>
      <w:r/>
    </w:p>
    <w:p>
      <w:pPr>
        <w:jc w:val="center"/>
        <w:shd w:val="clear" w:color="auto"/>
        <w:widowControl/>
        <w:rPr>
          <w:rFonts w:hint="eastAsia" w:ascii="仿宋" w:hAnsi="仿宋" w:eastAsia="仿宋" w:cs="仿宋"/>
          <w:color w:val="auto"/>
          <w:sz w:val="32"/>
          <w:szCs w:val="24"/>
          <w:highlight w:val="none"/>
        </w:rPr>
      </w:pPr>
      <w:r>
        <w:rPr>
          <w:rFonts w:hint="eastAsia" w:ascii="仿宋" w:hAnsi="仿宋" w:eastAsia="仿宋" w:cs="仿宋"/>
          <w:color w:val="auto"/>
          <w:sz w:val="32"/>
          <w:szCs w:val="24"/>
          <w:highlight w:val="none"/>
        </w:rPr>
      </w:r>
      <w:r/>
    </w:p>
    <w:p>
      <w:pPr>
        <w:ind w:right="-9"/>
        <w:jc w:val="center"/>
        <w:spacing w:line="360" w:lineRule="auto"/>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（一）供应商能力</w:t>
      </w:r>
      <w:r/>
    </w:p>
    <w:p>
      <w:pPr>
        <w:ind w:right="-9"/>
        <w:jc w:val="center"/>
        <w:spacing w:line="360" w:lineRule="auto"/>
        <w:shd w:val="clear" w:color="auto"/>
        <w:widowControl/>
        <w:rPr>
          <w:rFonts w:hint="eastAsia" w:ascii="仿宋" w:hAnsi="仿宋" w:eastAsia="仿宋" w:cs="仿宋"/>
          <w:color w:val="auto"/>
          <w:sz w:val="29"/>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29"/>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tabs>
          <w:tab w:val="left" w:pos="4080" w:leader="none"/>
        </w:tabs>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shd w:val="clear" w:color="auto"/>
        <w:rPr>
          <w:rFonts w:hint="eastAsia" w:ascii="仿宋" w:hAnsi="仿宋" w:eastAsia="仿宋" w:cs="仿宋"/>
          <w:color w:val="auto"/>
          <w:sz w:val="29"/>
          <w:szCs w:val="20"/>
          <w:highlight w:val="none"/>
        </w:rPr>
      </w:pPr>
      <w:r/>
      <w:bookmarkStart w:id="271" w:name="page61"/>
      <w:r/>
      <w:bookmarkEnd w:id="271"/>
      <w:r>
        <w:rPr>
          <w:rFonts w:hint="eastAsia" w:ascii="仿宋" w:hAnsi="仿宋" w:eastAsia="仿宋" w:cs="仿宋"/>
          <w:color w:val="auto"/>
          <w:sz w:val="29"/>
          <w:szCs w:val="20"/>
          <w:highlight w:val="none"/>
        </w:rPr>
        <w:br w:type="page" w:clear="all"/>
      </w:r>
      <w:r/>
    </w:p>
    <w:p>
      <w:pPr>
        <w:jc w:val="center"/>
        <w:spacing w:line="360" w:lineRule="auto"/>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（二）经验</w:t>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bookmarkStart w:id="272" w:name="page62"/>
      <w:r/>
      <w:bookmarkEnd w:id="272"/>
      <w:r>
        <w:rPr>
          <w:rFonts w:hint="eastAsia" w:ascii="仿宋" w:hAnsi="仿宋" w:eastAsia="仿宋" w:cs="仿宋"/>
          <w:color w:val="auto"/>
          <w:sz w:val="29"/>
          <w:szCs w:val="20"/>
          <w:highlight w:val="none"/>
        </w:rPr>
        <w:t xml:space="preserve">（三）项目经理能力</w:t>
      </w:r>
      <w:r/>
    </w:p>
    <w:tbl>
      <w:tblPr>
        <w:tblStyle w:val="703"/>
        <w:tblW w:w="981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80"/>
        <w:gridCol w:w="1984"/>
        <w:gridCol w:w="5848"/>
      </w:tblGrid>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textDirection w:val="lrTb"/>
            <w:noWrap w:val="false"/>
          </w:tcPr>
          <w:p>
            <w:pPr>
              <w:ind w:left="400"/>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近 3 年工作业绩及承担的主要工作</w:t>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性别</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Merge w:val="restart"/>
            <w:textDirection w:val="lrTb"/>
            <w:noWrap w:val="false"/>
          </w:tcPr>
          <w:p>
            <w:pP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年龄</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职称</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毕业时间</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所学专业</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学历</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证书名称</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专业资格</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656"/>
        </w:trPr>
        <w:tc>
          <w:tcPr>
            <w:shd w:val="clear" w:color="auto" w:fill="auto"/>
            <w:tcW w:w="1980"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联系电话</w:t>
            </w:r>
            <w:r/>
          </w:p>
        </w:tc>
        <w:tc>
          <w:tcPr>
            <w:shd w:val="clear" w:color="auto" w:fill="auto"/>
            <w:tcW w:w="1984"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5848" w:type="dxa"/>
            <w:vAlign w:val="center"/>
            <w:vMerge w:val="continue"/>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1695"/>
        </w:trPr>
        <w:tc>
          <w:tcPr>
            <w:shd w:val="clear" w:color="auto" w:fill="auto"/>
            <w:tcW w:w="1980" w:type="dxa"/>
            <w:vAlign w:val="center"/>
            <w:textDirection w:val="lrTb"/>
            <w:noWrap w:val="false"/>
          </w:tcPr>
          <w:p>
            <w:pPr>
              <w:ind w:left="100"/>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曾担任项目主要负责人的项目</w:t>
            </w:r>
            <w:r/>
          </w:p>
        </w:tc>
        <w:tc>
          <w:tcPr>
            <w:gridSpan w:val="2"/>
            <w:shd w:val="clear" w:color="auto" w:fill="auto"/>
            <w:tcW w:w="7832" w:type="dxa"/>
            <w:vAlign w:val="center"/>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ind w:left="600"/>
        <w:jc w:val="left"/>
        <w:spacing w:line="360" w:lineRule="auto"/>
        <w:shd w:val="clear" w:color="auto"/>
        <w:widowControl/>
        <w:rPr>
          <w:rFonts w:hint="eastAsia" w:ascii="仿宋" w:hAnsi="仿宋" w:eastAsia="仿宋" w:cs="仿宋"/>
          <w:color w:val="auto"/>
          <w:sz w:val="24"/>
          <w:szCs w:val="20"/>
          <w:highlight w:val="none"/>
          <w:u w:val="single"/>
        </w:rPr>
      </w:pPr>
      <w:r>
        <w:rPr>
          <w:rFonts w:hint="eastAsia" w:ascii="仿宋" w:hAnsi="仿宋" w:eastAsia="仿宋" w:cs="仿宋"/>
          <w:b/>
          <w:color w:val="auto"/>
          <w:sz w:val="24"/>
          <w:szCs w:val="20"/>
          <w:highlight w:val="none"/>
        </w:rPr>
        <w:t xml:space="preserve">注：</w:t>
      </w:r>
      <w:r>
        <w:rPr>
          <w:rFonts w:hint="eastAsia" w:ascii="仿宋" w:hAnsi="仿宋" w:eastAsia="仿宋" w:cs="仿宋"/>
          <w:color w:val="auto"/>
          <w:sz w:val="24"/>
          <w:szCs w:val="20"/>
          <w:highlight w:val="none"/>
        </w:rPr>
        <w:t xml:space="preserve">1、</w:t>
      </w:r>
      <w:r>
        <w:rPr>
          <w:rFonts w:hint="eastAsia" w:ascii="仿宋" w:hAnsi="仿宋" w:eastAsia="仿宋" w:cs="仿宋"/>
          <w:color w:val="auto"/>
          <w:sz w:val="24"/>
          <w:szCs w:val="20"/>
          <w:highlight w:val="none"/>
          <w:u w:val="single"/>
        </w:rPr>
        <w:t xml:space="preserve">项目经理具有资格证书的，应在本栏目提交相关证书扫描件。</w:t>
      </w:r>
      <w:r/>
    </w:p>
    <w:p>
      <w:pPr>
        <w:ind w:left="600"/>
        <w:jc w:val="left"/>
        <w:spacing w:line="360" w:lineRule="auto"/>
        <w:shd w:val="clear" w:color="auto"/>
        <w:widowControl/>
        <w:rPr>
          <w:rFonts w:hint="eastAsia"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2、</w:t>
      </w:r>
      <w:r>
        <w:rPr>
          <w:rFonts w:hint="eastAsia" w:ascii="仿宋" w:hAnsi="仿宋" w:eastAsia="仿宋" w:cs="仿宋"/>
          <w:color w:val="auto"/>
          <w:sz w:val="24"/>
          <w:szCs w:val="20"/>
          <w:highlight w:val="none"/>
          <w:u w:val="single"/>
        </w:rPr>
        <w:t xml:space="preserve">列入本表人员如要更换，需经采购人同意。擅自更换属违约行为。</w:t>
      </w:r>
      <w:r/>
    </w:p>
    <w:p>
      <w:pPr>
        <w:ind w:left="600"/>
        <w:jc w:val="left"/>
        <w:spacing w:line="360" w:lineRule="auto"/>
        <w:shd w:val="clear" w:color="auto"/>
        <w:widowControl/>
        <w:rPr>
          <w:rFonts w:hint="default" w:ascii="仿宋" w:hAnsi="仿宋" w:eastAsia="仿宋" w:cs="仿宋"/>
          <w:color w:val="auto"/>
          <w:sz w:val="24"/>
          <w:szCs w:val="20"/>
          <w:highlight w:val="none"/>
          <w:u w:val="single"/>
          <w:lang w:val="en-US" w:eastAsia="zh-CN"/>
        </w:rPr>
      </w:pPr>
      <w:r>
        <w:rPr>
          <w:rFonts w:hint="eastAsia" w:ascii="仿宋" w:hAnsi="仿宋" w:eastAsia="仿宋" w:cs="仿宋"/>
          <w:color w:val="auto"/>
          <w:sz w:val="24"/>
          <w:szCs w:val="20"/>
          <w:highlight w:val="none"/>
        </w:rPr>
        <w:t xml:space="preserve">3、</w:t>
      </w:r>
      <w:r>
        <w:rPr>
          <w:rFonts w:hint="eastAsia" w:ascii="仿宋" w:hAnsi="仿宋" w:eastAsia="仿宋" w:cs="仿宋"/>
          <w:color w:val="auto"/>
          <w:sz w:val="24"/>
          <w:szCs w:val="20"/>
          <w:highlight w:val="none"/>
          <w:u w:val="single"/>
        </w:rPr>
        <w:t xml:space="preserve">项目经理须提供近半年（</w:t>
      </w:r>
      <w:r>
        <w:rPr>
          <w:rFonts w:hint="eastAsia" w:ascii="仿宋" w:hAnsi="仿宋" w:eastAsia="仿宋" w:cs="仿宋"/>
          <w:color w:val="auto"/>
          <w:sz w:val="24"/>
          <w:szCs w:val="20"/>
          <w:highlight w:val="none"/>
          <w:u w:val="single"/>
          <w:lang w:eastAsia="zh-CN"/>
        </w:rPr>
        <w:t xml:space="preserve">任意一个月</w:t>
      </w:r>
      <w:r>
        <w:rPr>
          <w:rFonts w:hint="eastAsia" w:ascii="仿宋" w:hAnsi="仿宋" w:eastAsia="仿宋" w:cs="仿宋"/>
          <w:color w:val="auto"/>
          <w:sz w:val="24"/>
          <w:szCs w:val="20"/>
          <w:highlight w:val="none"/>
          <w:u w:val="single"/>
        </w:rPr>
        <w:t xml:space="preserve">）供应商为其缴纳社会保险的证明材料。</w:t>
      </w:r>
      <w:r>
        <w:rPr>
          <w:rFonts w:hint="eastAsia" w:ascii="仿宋" w:hAnsi="仿宋" w:eastAsia="仿宋" w:cs="仿宋"/>
          <w:color w:val="auto"/>
          <w:sz w:val="24"/>
          <w:szCs w:val="20"/>
          <w:highlight w:val="none"/>
          <w:u w:val="single"/>
          <w:lang w:val="en-US" w:eastAsia="zh-CN"/>
        </w:rPr>
        <w:t xml:space="preserve">如为退休人员提供退休证明材料。</w:t>
      </w:r>
      <w:r/>
    </w:p>
    <w:p>
      <w:pPr>
        <w:ind w:right="20"/>
        <w:jc w:val="center"/>
        <w:spacing w:line="0" w:lineRule="atLeast"/>
        <w:shd w:val="clear" w:color="auto"/>
        <w:widowControl/>
        <w:rPr>
          <w:rFonts w:hint="eastAsia" w:ascii="仿宋" w:hAnsi="仿宋" w:eastAsia="仿宋" w:cs="仿宋"/>
          <w:color w:val="auto"/>
          <w:sz w:val="18"/>
          <w:szCs w:val="20"/>
          <w:highlight w:val="none"/>
        </w:rPr>
        <w:sectPr>
          <w:footnotePr/>
          <w:endnotePr/>
          <w:type w:val="nextPage"/>
          <w:pgSz w:w="11920" w:h="16845" w:orient="portrait"/>
          <w:pgMar w:top="1440" w:right="1130" w:bottom="668" w:left="1160" w:header="0" w:footer="0" w:gutter="0"/>
          <w:cols w:num="1" w:sep="0" w:space="1701" w:equalWidth="0">
            <w:col w:w="9620" w:space="0"/>
          </w:cols>
          <w:docGrid w:linePitch="360"/>
        </w:sectPr>
      </w:pPr>
      <w:r>
        <w:rPr>
          <w:rFonts w:hint="eastAsia" w:ascii="仿宋" w:hAnsi="仿宋" w:eastAsia="仿宋" w:cs="仿宋"/>
          <w:color w:val="auto"/>
          <w:sz w:val="18"/>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bookmarkStart w:id="273" w:name="page63"/>
      <w:r/>
      <w:bookmarkEnd w:id="273"/>
      <w:r>
        <w:rPr>
          <w:rFonts w:hint="eastAsia" w:ascii="仿宋" w:hAnsi="仿宋" w:eastAsia="仿宋" w:cs="仿宋"/>
          <w:color w:val="auto"/>
          <w:sz w:val="29"/>
          <w:szCs w:val="20"/>
          <w:highlight w:val="none"/>
        </w:rPr>
        <w:t xml:space="preserve">(四)项目实施成员能力</w:t>
      </w:r>
      <w:r/>
    </w:p>
    <w:tbl>
      <w:tblPr>
        <w:tblStyle w:val="703"/>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0"/>
        <w:gridCol w:w="920"/>
        <w:gridCol w:w="1580"/>
        <w:gridCol w:w="1440"/>
        <w:gridCol w:w="1980"/>
        <w:gridCol w:w="1960"/>
        <w:gridCol w:w="940"/>
      </w:tblGrid>
      <w:tr>
        <w:trPr>
          <w:trHeight w:val="719"/>
        </w:trPr>
        <w:tc>
          <w:tcPr>
            <w:shd w:val="clear" w:color="auto" w:fill="auto"/>
            <w:tcW w:w="800" w:type="dxa"/>
            <w:vAlign w:val="bottom"/>
            <w:textDirection w:val="lrTb"/>
            <w:noWrap w:val="false"/>
          </w:tcPr>
          <w:p>
            <w:pPr>
              <w:ind w:left="140"/>
              <w:jc w:val="left"/>
              <w:spacing w:line="360" w:lineRule="auto"/>
              <w:shd w:val="clear" w:color="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序号</w:t>
            </w:r>
            <w:r/>
          </w:p>
        </w:tc>
        <w:tc>
          <w:tcPr>
            <w:shd w:val="clear" w:color="auto" w:fill="auto"/>
            <w:tcW w:w="920" w:type="dxa"/>
            <w:vAlign w:val="bottom"/>
            <w:textDirection w:val="lrTb"/>
            <w:noWrap w:val="false"/>
          </w:tcPr>
          <w:p>
            <w:pPr>
              <w:ind w:left="180"/>
              <w:jc w:val="left"/>
              <w:spacing w:line="360" w:lineRule="auto"/>
              <w:shd w:val="clear" w:color="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姓名</w:t>
            </w:r>
            <w:r/>
          </w:p>
        </w:tc>
        <w:tc>
          <w:tcPr>
            <w:shd w:val="clear" w:color="auto" w:fill="auto"/>
            <w:tcW w:w="1580" w:type="dxa"/>
            <w:vAlign w:val="bottom"/>
            <w:textDirection w:val="lrTb"/>
            <w:noWrap w:val="false"/>
          </w:tcPr>
          <w:p>
            <w:pPr>
              <w:ind w:left="280"/>
              <w:jc w:val="left"/>
              <w:spacing w:line="360" w:lineRule="auto"/>
              <w:shd w:val="clear" w:color="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身份证号</w:t>
            </w:r>
            <w:r/>
          </w:p>
        </w:tc>
        <w:tc>
          <w:tcPr>
            <w:shd w:val="clear" w:color="auto" w:fill="auto"/>
            <w:tcW w:w="1440" w:type="dxa"/>
            <w:vAlign w:val="bottom"/>
            <w:textDirection w:val="lrTb"/>
            <w:noWrap w:val="false"/>
          </w:tcPr>
          <w:p>
            <w:pPr>
              <w:ind w:left="220"/>
              <w:jc w:val="left"/>
              <w:spacing w:line="360" w:lineRule="auto"/>
              <w:shd w:val="clear" w:color="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人员类别</w:t>
            </w:r>
            <w:r/>
          </w:p>
        </w:tc>
        <w:tc>
          <w:tcPr>
            <w:shd w:val="clear" w:color="auto" w:fill="auto"/>
            <w:tcW w:w="1980" w:type="dxa"/>
            <w:vAlign w:val="bottom"/>
            <w:textDirection w:val="lrTb"/>
            <w:noWrap w:val="false"/>
          </w:tcPr>
          <w:p>
            <w:pPr>
              <w:ind w:left="100"/>
              <w:jc w:val="left"/>
              <w:spacing w:line="360" w:lineRule="auto"/>
              <w:shd w:val="clear" w:color="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技术证书、级别</w:t>
            </w:r>
            <w:r/>
          </w:p>
        </w:tc>
        <w:tc>
          <w:tcPr>
            <w:shd w:val="clear" w:color="auto" w:fill="auto"/>
            <w:tcW w:w="1960" w:type="dxa"/>
            <w:vAlign w:val="bottom"/>
            <w:textDirection w:val="lrTb"/>
            <w:noWrap w:val="false"/>
          </w:tcPr>
          <w:p>
            <w:pPr>
              <w:ind w:left="200"/>
              <w:jc w:val="left"/>
              <w:spacing w:line="360" w:lineRule="auto"/>
              <w:shd w:val="clear" w:color="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相关工作经验</w:t>
            </w:r>
            <w:r/>
          </w:p>
        </w:tc>
        <w:tc>
          <w:tcPr>
            <w:shd w:val="clear" w:color="auto" w:fill="auto"/>
            <w:tcW w:w="940" w:type="dxa"/>
            <w:vAlign w:val="bottom"/>
            <w:textDirection w:val="lrTb"/>
            <w:noWrap w:val="false"/>
          </w:tcPr>
          <w:p>
            <w:pPr>
              <w:ind w:left="200"/>
              <w:jc w:val="left"/>
              <w:spacing w:line="360" w:lineRule="auto"/>
              <w:shd w:val="clear" w:color="auto"/>
              <w:widowControl/>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备注</w:t>
            </w:r>
            <w:r/>
          </w:p>
        </w:tc>
      </w:tr>
      <w:tr>
        <w:trPr>
          <w:trHeight w:val="719"/>
        </w:trPr>
        <w:tc>
          <w:tcPr>
            <w:shd w:val="clear" w:color="auto" w:fill="auto"/>
            <w:tcW w:w="80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19"/>
        </w:trPr>
        <w:tc>
          <w:tcPr>
            <w:shd w:val="clear" w:color="auto" w:fill="auto"/>
            <w:tcW w:w="80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2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5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4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8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196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c>
          <w:tcPr>
            <w:shd w:val="clear" w:color="auto" w:fill="auto"/>
            <w:tcW w:w="940" w:type="dxa"/>
            <w:vAlign w:val="bottom"/>
            <w:textDirection w:val="lrTb"/>
            <w:noWrap w:val="false"/>
          </w:tcPr>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bl>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注：1、行数不够，请自行添加。</w:t>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2、列入本表人员如要更换，须经采购人同意，擅自更换属违约行为。</w:t>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3、列入上表人员需提供近半年（</w:t>
      </w:r>
      <w:r>
        <w:rPr>
          <w:rFonts w:hint="eastAsia" w:ascii="仿宋" w:hAnsi="仿宋" w:eastAsia="仿宋" w:cs="仿宋"/>
          <w:color w:val="auto"/>
          <w:sz w:val="24"/>
          <w:szCs w:val="20"/>
          <w:highlight w:val="none"/>
          <w:lang w:eastAsia="zh-CN"/>
        </w:rPr>
        <w:t xml:space="preserve">任意一个月</w:t>
      </w:r>
      <w:r>
        <w:rPr>
          <w:rFonts w:hint="eastAsia" w:ascii="仿宋" w:hAnsi="仿宋" w:eastAsia="仿宋" w:cs="仿宋"/>
          <w:color w:val="auto"/>
          <w:sz w:val="24"/>
          <w:szCs w:val="20"/>
          <w:highlight w:val="none"/>
        </w:rPr>
        <w:t xml:space="preserve">）供应商为其缴纳社会保险的证明材料。</w:t>
      </w:r>
      <w:r>
        <w:rPr>
          <w:rFonts w:hint="eastAsia" w:ascii="仿宋" w:hAnsi="仿宋" w:eastAsia="仿宋" w:cs="仿宋"/>
          <w:color w:val="auto"/>
          <w:sz w:val="24"/>
          <w:szCs w:val="20"/>
          <w:highlight w:val="none"/>
          <w:lang w:val="en-US" w:eastAsia="zh-CN"/>
        </w:rPr>
        <w:t xml:space="preserve">如为退休人员提供退休证明材料。</w:t>
      </w:r>
      <w:r/>
    </w:p>
    <w:p>
      <w:pPr>
        <w:jc w:val="left"/>
        <w:spacing w:line="360" w:lineRule="auto"/>
        <w:shd w:val="clear" w:color="auto"/>
        <w:widowControl/>
        <w:rPr>
          <w:rFonts w:hint="eastAsia" w:ascii="仿宋" w:hAnsi="仿宋" w:eastAsia="仿宋" w:cs="仿宋"/>
          <w:color w:val="auto"/>
          <w:sz w:val="24"/>
          <w:szCs w:val="20"/>
          <w:highlight w:val="none"/>
          <w:u w:val="single"/>
        </w:rPr>
        <w:sectPr>
          <w:footnotePr/>
          <w:endnotePr/>
          <w:type w:val="nextPage"/>
          <w:pgSz w:w="11920" w:h="16845" w:orient="portrait"/>
          <w:pgMar w:top="1440" w:right="1130" w:bottom="668" w:left="1160" w:header="0" w:footer="0" w:gutter="0"/>
          <w:cols w:num="1" w:sep="0" w:space="1701" w:equalWidth="0">
            <w:col w:w="9620" w:space="0"/>
          </w:cols>
          <w:docGrid w:linePitch="360"/>
        </w:sectPr>
      </w:pPr>
      <w:r>
        <w:rPr>
          <w:rFonts w:hint="eastAsia" w:ascii="仿宋" w:hAnsi="仿宋" w:eastAsia="仿宋" w:cs="仿宋"/>
          <w:color w:val="auto"/>
          <w:sz w:val="24"/>
          <w:szCs w:val="20"/>
          <w:highlight w:val="none"/>
        </w:rPr>
        <w:t xml:space="preserve">4、列入上表人员具有相关证书的，应在本栏目提交相关证明材料扫描件。</w:t>
      </w:r>
      <w:r/>
    </w:p>
    <w:p>
      <w:pPr>
        <w:jc w:val="center"/>
        <w:spacing w:line="360" w:lineRule="auto"/>
        <w:shd w:val="clear" w:color="auto"/>
        <w:widowControl/>
        <w:rPr>
          <w:rFonts w:hint="eastAsia" w:ascii="仿宋" w:hAnsi="仿宋" w:eastAsia="仿宋" w:cs="仿宋"/>
          <w:color w:val="auto"/>
          <w:sz w:val="29"/>
          <w:szCs w:val="20"/>
          <w:highlight w:val="none"/>
        </w:rPr>
      </w:pPr>
      <w:r/>
      <w:bookmarkStart w:id="274" w:name="page64"/>
      <w:r/>
      <w:bookmarkEnd w:id="274"/>
      <w:r/>
      <w:bookmarkStart w:id="275" w:name="page65"/>
      <w:r/>
      <w:bookmarkEnd w:id="275"/>
      <w:r>
        <w:rPr>
          <w:rFonts w:hint="eastAsia" w:ascii="仿宋" w:hAnsi="仿宋" w:eastAsia="仿宋" w:cs="仿宋"/>
          <w:color w:val="auto"/>
          <w:sz w:val="29"/>
          <w:szCs w:val="20"/>
          <w:highlight w:val="none"/>
        </w:rPr>
        <w:t xml:space="preserve">（五）首次报价一览表</w:t>
      </w:r>
      <w:r/>
    </w:p>
    <w:p>
      <w:pPr>
        <w:ind w:right="-9"/>
        <w:jc w:val="center"/>
        <w:spacing w:line="360" w:lineRule="auto"/>
        <w:shd w:val="clear" w:color="auto"/>
        <w:widowControl/>
        <w:rPr>
          <w:rFonts w:hint="eastAsia" w:ascii="仿宋" w:hAnsi="仿宋" w:eastAsia="仿宋" w:cs="仿宋"/>
          <w:b/>
          <w:color w:val="auto"/>
          <w:sz w:val="32"/>
          <w:szCs w:val="20"/>
          <w:highlight w:val="none"/>
          <w:lang w:eastAsia="zh-CN"/>
        </w:rPr>
      </w:pPr>
      <w:r>
        <w:rPr>
          <w:rFonts w:hint="eastAsia" w:ascii="仿宋" w:hAnsi="仿宋" w:eastAsia="仿宋" w:cs="仿宋"/>
          <w:b/>
          <w:color w:val="auto"/>
          <w:sz w:val="32"/>
          <w:szCs w:val="20"/>
          <w:highlight w:val="none"/>
        </w:rPr>
        <w:t xml:space="preserve">首次报价一览表</w:t>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03"/>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8"/>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shd w:val="clear" w:color="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8"/>
                <w:highlight w:val="none"/>
                <w:lang w:val="en-US" w:eastAsia="zh-CN"/>
              </w:rPr>
              <w:t xml:space="preserve">180日历天</w:t>
            </w:r>
            <w:r/>
          </w:p>
        </w:tc>
      </w:tr>
    </w:tbl>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shd w:val="clear" w:color="auto"/>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clear="all"/>
      </w:r>
      <w:r/>
    </w:p>
    <w:p>
      <w:pPr>
        <w:jc w:val="center"/>
        <w:spacing w:line="360" w:lineRule="auto"/>
        <w:shd w:val="clear" w:color="auto"/>
        <w:widowControl/>
        <w:rPr>
          <w:rFonts w:hint="eastAsia" w:ascii="仿宋" w:hAnsi="仿宋" w:eastAsia="仿宋" w:cs="仿宋"/>
          <w:color w:val="auto"/>
          <w:sz w:val="29"/>
          <w:szCs w:val="20"/>
          <w:highlight w:val="none"/>
        </w:rPr>
      </w:pPr>
      <w:r/>
      <w:bookmarkStart w:id="276" w:name="page66"/>
      <w:r/>
      <w:bookmarkEnd w:id="276"/>
      <w:r>
        <w:rPr>
          <w:rFonts w:hint="eastAsia" w:ascii="仿宋" w:hAnsi="仿宋" w:eastAsia="仿宋" w:cs="仿宋"/>
          <w:color w:val="auto"/>
          <w:sz w:val="29"/>
          <w:szCs w:val="20"/>
          <w:highlight w:val="none"/>
        </w:rPr>
        <w:t xml:space="preserve">（六）首次明细报价表</w:t>
      </w:r>
      <w:r/>
    </w:p>
    <w:tbl>
      <w:tblPr>
        <w:tblStyle w:val="703"/>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2338"/>
        <w:gridCol w:w="915"/>
        <w:gridCol w:w="1175"/>
        <w:gridCol w:w="1429"/>
        <w:gridCol w:w="660"/>
        <w:gridCol w:w="2220"/>
        <w:gridCol w:w="931"/>
      </w:tblGrid>
      <w:tr>
        <w:trPr>
          <w:jc w:val="center"/>
          <w:trHeight w:val="474"/>
        </w:trPr>
        <w:tc>
          <w:tcPr>
            <w:gridSpan w:val="8"/>
            <w:tcW w:w="1015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一、服务部分</w:t>
            </w:r>
            <w:r/>
          </w:p>
        </w:tc>
      </w:tr>
      <w:tr>
        <w:trPr>
          <w:jc w:val="center"/>
          <w:trHeight w:val="948"/>
        </w:trPr>
        <w:tc>
          <w:tcPr>
            <w:tcW w:w="492"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338"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W w:w="91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17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gridSpan w:val="2"/>
            <w:tcW w:w="208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单价（元）</w:t>
            </w:r>
            <w:r/>
          </w:p>
        </w:tc>
        <w:tc>
          <w:tcPr>
            <w:tcW w:w="2220"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合计（元）</w:t>
            </w:r>
            <w:r/>
          </w:p>
        </w:tc>
        <w:tc>
          <w:tcPr>
            <w:tcW w:w="931"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74"/>
        </w:trPr>
        <w:tc>
          <w:tcPr>
            <w:tcW w:w="492"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338"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9"/>
        </w:trPr>
        <w:tc>
          <w:tcPr>
            <w:tcW w:w="492"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338"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tcW w:w="492"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2338"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1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5"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8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20"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31"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74"/>
        </w:trPr>
        <w:tc>
          <w:tcPr>
            <w:gridSpan w:val="8"/>
            <w:tcW w:w="1015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服务部分小计：      元</w:t>
            </w:r>
            <w:r/>
          </w:p>
        </w:tc>
      </w:tr>
      <w:tr>
        <w:trPr>
          <w:jc w:val="center"/>
          <w:trHeight w:val="948"/>
        </w:trPr>
        <w:tc>
          <w:tcPr>
            <w:gridSpan w:val="5"/>
            <w:tcW w:w="634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其它相关费用(培训、管理费、税金等与项目相关的一切费用)</w:t>
            </w:r>
            <w:r/>
          </w:p>
        </w:tc>
        <w:tc>
          <w:tcPr>
            <w:gridSpan w:val="3"/>
            <w:tcW w:w="3811"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r>
        <w:trPr>
          <w:jc w:val="center"/>
          <w:trHeight w:val="489"/>
        </w:trPr>
        <w:tc>
          <w:tcPr>
            <w:gridSpan w:val="5"/>
            <w:tcW w:w="6349"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项目总报价</w:t>
            </w:r>
            <w:r/>
          </w:p>
        </w:tc>
        <w:tc>
          <w:tcPr>
            <w:gridSpan w:val="3"/>
            <w:tcW w:w="3811" w:type="dxa"/>
            <w:vAlign w:val="center"/>
            <w:textDirection w:val="lrTb"/>
            <w:noWrap w:val="false"/>
          </w:tcPr>
          <w:p>
            <w:pPr>
              <w:ind w:right="260"/>
              <w:jc w:val="center"/>
              <w:spacing w:line="360" w:lineRule="auto"/>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元</w:t>
            </w:r>
            <w:r/>
          </w:p>
        </w:tc>
      </w:tr>
    </w:tbl>
    <w:p>
      <w:pPr>
        <w:ind w:left="20"/>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注：1、</w:t>
      </w:r>
      <w:r>
        <w:rPr>
          <w:rFonts w:hint="eastAsia" w:ascii="仿宋" w:hAnsi="仿宋" w:eastAsia="仿宋" w:cs="仿宋"/>
          <w:color w:val="auto"/>
          <w:sz w:val="24"/>
          <w:szCs w:val="20"/>
          <w:highlight w:val="none"/>
          <w:lang w:eastAsia="zh-CN"/>
        </w:rPr>
        <w:t xml:space="preserve">供应商</w:t>
      </w:r>
      <w:r>
        <w:rPr>
          <w:rFonts w:hint="eastAsia" w:ascii="仿宋" w:hAnsi="仿宋" w:eastAsia="仿宋" w:cs="仿宋"/>
          <w:color w:val="auto"/>
          <w:sz w:val="24"/>
          <w:szCs w:val="20"/>
          <w:highlight w:val="none"/>
        </w:rPr>
        <w:t xml:space="preserve">应当按照</w:t>
      </w:r>
      <w:r>
        <w:rPr>
          <w:rFonts w:hint="eastAsia" w:ascii="仿宋" w:hAnsi="仿宋" w:eastAsia="仿宋" w:cs="仿宋"/>
          <w:color w:val="auto"/>
          <w:sz w:val="24"/>
          <w:szCs w:val="20"/>
          <w:highlight w:val="none"/>
          <w:lang w:eastAsia="zh-CN"/>
        </w:rPr>
        <w:t xml:space="preserve">采购文件</w:t>
      </w:r>
      <w:r>
        <w:rPr>
          <w:rFonts w:hint="eastAsia" w:ascii="仿宋" w:hAnsi="仿宋" w:eastAsia="仿宋" w:cs="仿宋"/>
          <w:color w:val="auto"/>
          <w:sz w:val="24"/>
          <w:szCs w:val="20"/>
          <w:highlight w:val="none"/>
        </w:rPr>
        <w:t xml:space="preserve">采购需求及相关报价要求填写。</w:t>
      </w:r>
      <w:r/>
    </w:p>
    <w:p>
      <w:pPr>
        <w:ind w:left="20" w:right="120"/>
        <w:jc w:val="left"/>
        <w:spacing w:line="360" w:lineRule="auto"/>
        <w:shd w:val="clear" w:color="auto"/>
        <w:widowControl/>
        <w:rPr>
          <w:rFonts w:hint="eastAsia" w:ascii="仿宋" w:hAnsi="仿宋" w:eastAsia="仿宋" w:cs="仿宋"/>
          <w:color w:val="auto"/>
          <w:szCs w:val="20"/>
          <w:highlight w:val="none"/>
        </w:rPr>
      </w:pPr>
      <w:r>
        <w:rPr>
          <w:rFonts w:hint="eastAsia" w:ascii="仿宋" w:hAnsi="仿宋" w:eastAsia="仿宋" w:cs="仿宋"/>
          <w:color w:val="auto"/>
          <w:szCs w:val="20"/>
          <w:highlight w:val="none"/>
        </w:rPr>
        <w:t xml:space="preserve">2、本表中“其它”由</w:t>
      </w:r>
      <w:r>
        <w:rPr>
          <w:rFonts w:hint="eastAsia" w:ascii="仿宋" w:hAnsi="仿宋" w:eastAsia="仿宋" w:cs="仿宋"/>
          <w:color w:val="auto"/>
          <w:szCs w:val="20"/>
          <w:highlight w:val="none"/>
          <w:lang w:eastAsia="zh-CN"/>
        </w:rPr>
        <w:t xml:space="preserve">供应商</w:t>
      </w:r>
      <w:r>
        <w:rPr>
          <w:rFonts w:hint="eastAsia" w:ascii="仿宋" w:hAnsi="仿宋" w:eastAsia="仿宋" w:cs="仿宋"/>
          <w:color w:val="auto"/>
          <w:szCs w:val="20"/>
          <w:highlight w:val="none"/>
        </w:rPr>
        <w:t xml:space="preserve">根据采购需求及自身经验进行补充填写。项目实施时，除采购人明确提出需要变更增加外，不再增加任何费用，</w:t>
      </w:r>
      <w:r>
        <w:rPr>
          <w:rFonts w:hint="eastAsia" w:ascii="仿宋" w:hAnsi="仿宋" w:eastAsia="仿宋" w:cs="仿宋"/>
          <w:color w:val="auto"/>
          <w:szCs w:val="20"/>
          <w:highlight w:val="none"/>
          <w:lang w:eastAsia="zh-CN"/>
        </w:rPr>
        <w:t xml:space="preserve">供应商</w:t>
      </w:r>
      <w:r>
        <w:rPr>
          <w:rFonts w:hint="eastAsia" w:ascii="仿宋" w:hAnsi="仿宋" w:eastAsia="仿宋" w:cs="仿宋"/>
          <w:color w:val="auto"/>
          <w:szCs w:val="20"/>
          <w:highlight w:val="none"/>
        </w:rPr>
        <w:t xml:space="preserve">应确保本项目能安全、正常运行并达到采购要求。</w:t>
      </w:r>
      <w:r/>
    </w:p>
    <w:p>
      <w:pPr>
        <w:ind w:left="20"/>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3、本表中项目总报价应与开标一览表中项目总报价保持一致。</w:t>
      </w:r>
      <w:r/>
    </w:p>
    <w:p>
      <w:pP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4、报价保留至小数点后两位，四舍五入。</w:t>
      </w:r>
      <w:r/>
    </w:p>
    <w:p>
      <w:pPr>
        <w:shd w:val="clear" w:color="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br w:type="page" w:clear="all"/>
      </w:r>
      <w:r/>
    </w:p>
    <w:p>
      <w:pPr>
        <w:ind w:right="-9"/>
        <w:jc w:val="center"/>
        <w:spacing w:line="360" w:lineRule="auto"/>
        <w:shd w:val="clear" w:color="auto"/>
        <w:widowControl/>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lang w:val="en-US" w:eastAsia="zh-CN"/>
        </w:rPr>
        <w:t xml:space="preserve">二轮</w:t>
      </w:r>
      <w:r>
        <w:rPr>
          <w:rFonts w:hint="eastAsia" w:ascii="仿宋" w:hAnsi="仿宋" w:eastAsia="仿宋" w:cs="仿宋"/>
          <w:b/>
          <w:color w:val="auto"/>
          <w:sz w:val="32"/>
          <w:szCs w:val="20"/>
          <w:highlight w:val="none"/>
        </w:rPr>
        <w:t xml:space="preserve">报价一览表</w:t>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03"/>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60"/>
        <w:gridCol w:w="4260"/>
      </w:tblGrid>
      <w:tr>
        <w:trPr>
          <w:trHeight w:val="568"/>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782"/>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2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760" w:type="dxa"/>
            <w:vAlign w:val="bottom"/>
            <w:textDirection w:val="lrTb"/>
            <w:noWrap w:val="false"/>
          </w:tcPr>
          <w:p>
            <w:pPr>
              <w:jc w:val="center"/>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服务期</w:t>
            </w:r>
            <w:r/>
          </w:p>
        </w:tc>
        <w:tc>
          <w:tcPr>
            <w:shd w:val="clear" w:color="auto" w:fill="auto"/>
            <w:tcW w:w="4260" w:type="dxa"/>
            <w:vAlign w:val="bottom"/>
            <w:textDirection w:val="lrTb"/>
            <w:noWrap w:val="false"/>
          </w:tcPr>
          <w:p>
            <w:pPr>
              <w:jc w:val="center"/>
              <w:spacing w:line="360" w:lineRule="auto"/>
              <w:shd w:val="clear" w:color="auto"/>
              <w:widowControl/>
              <w:rPr>
                <w:rFonts w:hint="default" w:ascii="仿宋" w:hAnsi="仿宋" w:eastAsia="仿宋" w:cs="仿宋"/>
                <w:color w:val="auto"/>
                <w:sz w:val="24"/>
                <w:szCs w:val="20"/>
                <w:highlight w:val="none"/>
                <w:lang w:val="en-US" w:eastAsia="zh-CN"/>
              </w:rPr>
            </w:pPr>
            <w:r>
              <w:rPr>
                <w:rFonts w:hint="eastAsia" w:ascii="仿宋" w:hAnsi="仿宋" w:eastAsia="仿宋" w:cs="仿宋"/>
                <w:color w:val="auto"/>
                <w:sz w:val="24"/>
                <w:szCs w:val="28"/>
                <w:highlight w:val="none"/>
                <w:lang w:val="en-US" w:eastAsia="zh-CN"/>
              </w:rPr>
              <w:t xml:space="preserve">180日历天</w:t>
            </w:r>
            <w:r/>
          </w:p>
        </w:tc>
      </w:tr>
    </w:tbl>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shd w:val="clear" w:color="auto"/>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注：本表格以苏采云系统中表格格式为准，各供应商应在苏采云系统中进行二最终报价。</w:t>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shd w:val="clear" w:color="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shd w:val="clear" w:color="auto"/>
        <w:rPr>
          <w:rFonts w:hint="eastAsia" w:ascii="仿宋" w:hAnsi="仿宋" w:eastAsia="仿宋" w:cs="仿宋"/>
          <w:color w:val="auto"/>
          <w:sz w:val="30"/>
          <w:szCs w:val="20"/>
          <w:highlight w:val="none"/>
        </w:rPr>
      </w:pPr>
      <w:r>
        <w:rPr>
          <w:rFonts w:hint="eastAsia" w:ascii="仿宋" w:hAnsi="仿宋" w:eastAsia="仿宋" w:cs="仿宋"/>
          <w:color w:val="auto"/>
          <w:sz w:val="30"/>
          <w:szCs w:val="20"/>
          <w:highlight w:val="none"/>
        </w:rPr>
        <w:br w:type="page" w:clear="all"/>
      </w:r>
      <w:r/>
    </w:p>
    <w:p>
      <w:pPr>
        <w:ind w:right="-9"/>
        <w:jc w:val="center"/>
        <w:spacing w:line="360" w:lineRule="auto"/>
        <w:shd w:val="clear" w:color="auto"/>
        <w:widowControl/>
        <w:rPr>
          <w:rFonts w:hint="eastAsia" w:ascii="仿宋" w:hAnsi="仿宋" w:eastAsia="仿宋" w:cs="仿宋"/>
          <w:color w:val="auto"/>
          <w:sz w:val="30"/>
          <w:szCs w:val="20"/>
          <w:highlight w:val="none"/>
        </w:rPr>
      </w:pPr>
      <w:r>
        <w:rPr>
          <w:rFonts w:hint="eastAsia" w:ascii="仿宋" w:hAnsi="仿宋" w:eastAsia="仿宋" w:cs="仿宋"/>
          <w:color w:val="auto"/>
          <w:sz w:val="30"/>
          <w:szCs w:val="20"/>
          <w:highlight w:val="none"/>
        </w:rPr>
        <w:t xml:space="preserve">四、其他部分</w:t>
      </w:r>
      <w:r/>
    </w:p>
    <w:p>
      <w:pPr>
        <w:ind w:right="-9"/>
        <w:jc w:val="center"/>
        <w:spacing w:line="360" w:lineRule="auto"/>
        <w:shd w:val="clear" w:color="auto"/>
        <w:widowControl/>
        <w:rPr>
          <w:rFonts w:hint="eastAsia" w:ascii="仿宋" w:hAnsi="仿宋" w:eastAsia="仿宋" w:cs="仿宋"/>
          <w:color w:val="auto"/>
          <w:sz w:val="30"/>
          <w:szCs w:val="20"/>
          <w:highlight w:val="none"/>
        </w:rPr>
        <w:sectPr>
          <w:footnotePr/>
          <w:endnotePr/>
          <w:type w:val="nextPage"/>
          <w:pgSz w:w="11920" w:h="16845" w:orient="portrait"/>
          <w:pgMar w:top="1440" w:right="1440" w:bottom="668" w:left="1440" w:header="0" w:footer="0" w:gutter="0"/>
          <w:cols w:num="1" w:sep="0" w:space="1701" w:equalWidth="0">
            <w:col w:w="9030" w:space="0"/>
          </w:cols>
          <w:docGrid w:linePitch="360"/>
        </w:sectPr>
      </w:pPr>
      <w:r>
        <w:rPr>
          <w:rFonts w:hint="eastAsia" w:ascii="仿宋" w:hAnsi="仿宋" w:eastAsia="仿宋" w:cs="仿宋"/>
          <w:color w:val="auto"/>
          <w:sz w:val="30"/>
          <w:szCs w:val="20"/>
          <w:highlight w:val="none"/>
        </w:rPr>
      </w:r>
      <w:r/>
    </w:p>
    <w:p>
      <w:pPr>
        <w:jc w:val="center"/>
        <w:spacing w:line="360" w:lineRule="auto"/>
        <w:shd w:val="clear" w:color="auto"/>
        <w:widowControl/>
        <w:rPr>
          <w:rFonts w:hint="eastAsia" w:ascii="仿宋" w:hAnsi="仿宋" w:eastAsia="仿宋" w:cs="仿宋"/>
          <w:color w:val="auto"/>
          <w:sz w:val="29"/>
          <w:szCs w:val="20"/>
          <w:highlight w:val="none"/>
        </w:rPr>
      </w:pPr>
      <w:r/>
      <w:bookmarkStart w:id="277" w:name="page68"/>
      <w:r/>
      <w:bookmarkEnd w:id="277"/>
      <w:r>
        <w:rPr>
          <w:rFonts w:hint="eastAsia" w:ascii="仿宋" w:hAnsi="仿宋" w:eastAsia="仿宋" w:cs="仿宋"/>
          <w:color w:val="auto"/>
          <w:sz w:val="29"/>
          <w:szCs w:val="20"/>
          <w:highlight w:val="none"/>
        </w:rPr>
        <w:t xml:space="preserve">（一）中小企业声明函</w:t>
      </w:r>
      <w:r/>
    </w:p>
    <w:p>
      <w:pPr>
        <w:ind w:firstLine="540"/>
        <w:jc w:val="left"/>
        <w:spacing w:line="360" w:lineRule="auto"/>
        <w:shd w:val="clear" w:color="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本公司（联合体）</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rPr>
        <w:t xml:space="preserve">郑重声明，根据《政府采购促进中小企业发展管理办法》（财库﹝2020﹞46 号）的规定，本公司 （联合体）</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rPr>
        <w:t xml:space="preserve">参加</w:t>
      </w:r>
      <w:r>
        <w:rPr>
          <w:rFonts w:hint="eastAsia" w:ascii="仿宋" w:hAnsi="仿宋" w:eastAsia="仿宋" w:cs="仿宋"/>
          <w:color w:val="auto"/>
          <w:sz w:val="27"/>
          <w:szCs w:val="20"/>
          <w:highlight w:val="none"/>
          <w:u w:val="single"/>
        </w:rPr>
        <w:t xml:space="preserve">（单位名称）</w:t>
      </w:r>
      <w:r>
        <w:rPr>
          <w:rFonts w:hint="eastAsia" w:ascii="仿宋" w:hAnsi="仿宋" w:eastAsia="仿宋" w:cs="仿宋"/>
          <w:color w:val="auto"/>
          <w:sz w:val="27"/>
          <w:szCs w:val="20"/>
          <w:highlight w:val="none"/>
        </w:rPr>
        <w:t xml:space="preserve">的</w:t>
      </w:r>
      <w:r>
        <w:rPr>
          <w:rFonts w:hint="eastAsia" w:ascii="仿宋" w:hAnsi="仿宋" w:eastAsia="仿宋" w:cs="仿宋"/>
          <w:color w:val="auto"/>
          <w:sz w:val="27"/>
          <w:szCs w:val="20"/>
          <w:highlight w:val="none"/>
          <w:u w:val="single"/>
        </w:rPr>
        <w:t xml:space="preserve">（项目名称）</w:t>
      </w:r>
      <w:r>
        <w:rPr>
          <w:rFonts w:hint="eastAsia" w:ascii="仿宋" w:hAnsi="仿宋" w:eastAsia="仿宋" w:cs="仿宋"/>
          <w:color w:val="auto"/>
          <w:sz w:val="27"/>
          <w:szCs w:val="20"/>
          <w:highlight w:val="none"/>
        </w:rPr>
        <w:t xml:space="preserve">采购活动，服务全部由符合政策要求的中小企业承接。相关企业（含联合体中的中小企业、签订分包意向协议的中小企业）的具体情况如</w:t>
      </w:r>
      <w:r>
        <w:rPr>
          <w:rFonts w:hint="eastAsia" w:ascii="仿宋" w:hAnsi="仿宋" w:eastAsia="仿宋" w:cs="仿宋"/>
          <w:color w:val="auto"/>
          <w:sz w:val="29"/>
          <w:szCs w:val="20"/>
          <w:highlight w:val="none"/>
        </w:rPr>
        <w:t xml:space="preserve">下：</w:t>
      </w:r>
      <w:r/>
    </w:p>
    <w:p>
      <w:pPr>
        <w:ind w:firstLine="540"/>
        <w:jc w:val="left"/>
        <w:spacing w:line="360" w:lineRule="auto"/>
        <w:shd w:val="clear" w:color="auto"/>
        <w:widowControl/>
        <w:tabs>
          <w:tab w:val="left" w:pos="1140" w:leader="none"/>
        </w:tabs>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1.</w:t>
      </w:r>
      <w:r>
        <w:rPr>
          <w:rFonts w:hint="eastAsia" w:ascii="仿宋" w:hAnsi="仿宋" w:eastAsia="仿宋" w:cs="仿宋"/>
          <w:color w:val="auto"/>
          <w:sz w:val="27"/>
          <w:szCs w:val="20"/>
          <w:highlight w:val="none"/>
          <w:u w:val="single"/>
        </w:rPr>
        <w:t xml:space="preserve">（标的名称） </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u w:val="single"/>
        </w:rPr>
        <w:t xml:space="preserve">（采购文件中明确的所属行业）</w:t>
      </w:r>
      <w:r>
        <w:rPr>
          <w:rFonts w:hint="eastAsia" w:ascii="仿宋" w:hAnsi="仿宋" w:eastAsia="仿宋" w:cs="仿宋"/>
          <w:color w:val="auto"/>
          <w:sz w:val="27"/>
          <w:szCs w:val="20"/>
          <w:highlight w:val="none"/>
          <w:u w:val="single"/>
          <w:lang w:val="en-US" w:eastAsia="zh-CN"/>
        </w:rPr>
        <w:t xml:space="preserve"> </w:t>
      </w:r>
      <w:r>
        <w:rPr>
          <w:rFonts w:hint="eastAsia" w:ascii="仿宋" w:hAnsi="仿宋" w:eastAsia="仿宋" w:cs="仿宋"/>
          <w:color w:val="auto"/>
          <w:sz w:val="27"/>
          <w:szCs w:val="20"/>
          <w:highlight w:val="none"/>
        </w:rPr>
        <w:t xml:space="preserve">；承接企业为</w:t>
      </w:r>
      <w:r>
        <w:rPr>
          <w:rFonts w:hint="eastAsia" w:ascii="仿宋" w:hAnsi="仿宋" w:eastAsia="仿宋" w:cs="仿宋"/>
          <w:color w:val="auto"/>
          <w:sz w:val="27"/>
          <w:szCs w:val="20"/>
          <w:highlight w:val="none"/>
          <w:u w:val="single"/>
        </w:rPr>
        <w:t xml:space="preserve">（企业名称）</w:t>
      </w:r>
      <w:r>
        <w:rPr>
          <w:rFonts w:hint="eastAsia" w:ascii="仿宋" w:hAnsi="仿宋" w:eastAsia="仿宋" w:cs="仿宋"/>
          <w:color w:val="auto"/>
          <w:sz w:val="27"/>
          <w:szCs w:val="20"/>
          <w:highlight w:val="none"/>
        </w:rPr>
        <w:t xml:space="preserve">，从业人员</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人</w:t>
      </w:r>
      <w:r>
        <w:rPr>
          <w:rFonts w:hint="eastAsia" w:ascii="仿宋" w:hAnsi="仿宋" w:eastAsia="仿宋" w:cs="仿宋"/>
          <w:color w:val="auto"/>
          <w:sz w:val="27"/>
          <w:szCs w:val="20"/>
          <w:highlight w:val="none"/>
        </w:rPr>
        <w:t xml:space="preserve">，营业 收入为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，资产总额为</w:t>
      </w:r>
      <w:r>
        <w:rPr>
          <w:rFonts w:hint="eastAsia" w:ascii="仿宋" w:hAnsi="仿宋" w:eastAsia="仿宋" w:cs="仿宋"/>
          <w:color w:val="auto"/>
          <w:sz w:val="27"/>
          <w:szCs w:val="20"/>
          <w:highlight w:val="none"/>
          <w:u w:val="single"/>
        </w:rPr>
        <w:tab/>
      </w:r>
      <w:r>
        <w:rPr>
          <w:rFonts w:hint="eastAsia" w:ascii="仿宋" w:hAnsi="仿宋" w:eastAsia="仿宋" w:cs="仿宋"/>
          <w:color w:val="auto"/>
          <w:sz w:val="27"/>
          <w:szCs w:val="20"/>
          <w:highlight w:val="none"/>
          <w:u w:val="single"/>
        </w:rPr>
        <w:t xml:space="preserve">万元</w:t>
      </w:r>
      <w:r>
        <w:rPr>
          <w:rFonts w:hint="eastAsia" w:ascii="仿宋" w:hAnsi="仿宋" w:eastAsia="仿宋" w:cs="仿宋"/>
          <w:color w:val="auto"/>
          <w:sz w:val="27"/>
          <w:szCs w:val="20"/>
          <w:highlight w:val="none"/>
        </w:rPr>
        <w:t xml:space="preserve">，属于</w:t>
      </w:r>
      <w:r>
        <w:rPr>
          <w:rFonts w:hint="eastAsia" w:ascii="仿宋" w:hAnsi="仿宋" w:eastAsia="仿宋" w:cs="仿宋"/>
          <w:color w:val="auto"/>
          <w:sz w:val="27"/>
          <w:szCs w:val="20"/>
          <w:highlight w:val="none"/>
          <w:u w:val="single"/>
        </w:rPr>
        <w:t xml:space="preserve">（中型企业、 小型企业、微型企业）</w:t>
      </w:r>
      <w:r>
        <w:rPr>
          <w:rFonts w:hint="eastAsia" w:ascii="仿宋" w:hAnsi="仿宋" w:eastAsia="仿宋" w:cs="仿宋"/>
          <w:color w:val="auto"/>
          <w:sz w:val="27"/>
          <w:szCs w:val="20"/>
          <w:highlight w:val="none"/>
        </w:rPr>
        <w:t xml:space="preserve">；</w:t>
      </w:r>
      <w:r>
        <w:rPr>
          <w:rFonts w:hint="eastAsia" w:ascii="仿宋" w:hAnsi="仿宋" w:eastAsia="仿宋" w:cs="仿宋"/>
          <w:color w:val="auto"/>
          <w:sz w:val="27"/>
          <w:szCs w:val="20"/>
          <w:highlight w:val="none"/>
        </w:rPr>
        <w:tab/>
      </w:r>
      <w:r/>
    </w:p>
    <w:p>
      <w:pPr>
        <w:ind w:firstLine="540"/>
        <w:jc w:val="left"/>
        <w:spacing w:line="360" w:lineRule="auto"/>
        <w:shd w:val="clear" w:color="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shd w:val="clear" w:color="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r>
      <w:r/>
    </w:p>
    <w:p>
      <w:pPr>
        <w:ind w:firstLine="540"/>
        <w:jc w:val="left"/>
        <w:spacing w:line="360" w:lineRule="auto"/>
        <w:shd w:val="clear" w:color="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以上企业，不属于大企业的分支机构，不存在控股股东为大企业的情形，</w:t>
      </w:r>
      <w:r>
        <w:rPr>
          <w:rFonts w:hint="eastAsia" w:ascii="仿宋" w:hAnsi="仿宋" w:eastAsia="仿宋" w:cs="仿宋"/>
          <w:color w:val="auto"/>
          <w:sz w:val="29"/>
          <w:szCs w:val="20"/>
          <w:highlight w:val="none"/>
        </w:rPr>
        <w:t xml:space="preserve">也不存在与大企业的负责人为同一人的情形。</w:t>
      </w:r>
      <w:r/>
    </w:p>
    <w:p>
      <w:pPr>
        <w:ind w:left="560"/>
        <w:jc w:val="left"/>
        <w:spacing w:line="360" w:lineRule="auto"/>
        <w:shd w:val="clear" w:color="auto"/>
        <w:widowControl/>
        <w:rPr>
          <w:rFonts w:hint="eastAsia" w:ascii="仿宋" w:hAnsi="仿宋" w:eastAsia="仿宋" w:cs="仿宋"/>
          <w:color w:val="auto"/>
          <w:sz w:val="27"/>
          <w:szCs w:val="20"/>
          <w:highlight w:val="none"/>
        </w:rPr>
      </w:pPr>
      <w:r>
        <w:rPr>
          <w:rFonts w:hint="eastAsia" w:ascii="仿宋" w:hAnsi="仿宋" w:eastAsia="仿宋" w:cs="仿宋"/>
          <w:color w:val="auto"/>
          <w:sz w:val="27"/>
          <w:szCs w:val="20"/>
          <w:highlight w:val="none"/>
        </w:rPr>
        <w:t xml:space="preserve">本企业对上述声明内容的真实性负责。如有虚假，将依法承担相应责任。</w:t>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企业名称（盖章）：</w:t>
      </w:r>
      <w:r/>
    </w:p>
    <w:p>
      <w:pPr>
        <w:jc w:val="left"/>
        <w:spacing w:line="360" w:lineRule="auto"/>
        <w:shd w:val="clear" w:color="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ind w:left="560"/>
        <w:jc w:val="left"/>
        <w:spacing w:line="360" w:lineRule="auto"/>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日 期：</w:t>
      </w:r>
      <w:r/>
    </w:p>
    <w:p>
      <w:pPr>
        <w:jc w:val="left"/>
        <w:spacing w:line="360" w:lineRule="auto"/>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r>
      <w:r/>
    </w:p>
    <w:p>
      <w:pPr>
        <w:jc w:val="left"/>
        <w:spacing w:line="360" w:lineRule="auto"/>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注：从业人员、营业收入、资产总额填报上一年度数据，无上一年度数据的新成立企业可不填报。</w:t>
      </w:r>
      <w:r/>
    </w:p>
    <w:p>
      <w:pPr>
        <w:ind w:right="160"/>
        <w:jc w:val="center"/>
        <w:spacing w:line="0" w:lineRule="atLeast"/>
        <w:shd w:val="clear" w:color="auto"/>
        <w:widowControl/>
        <w:rPr>
          <w:rFonts w:hint="eastAsia" w:ascii="仿宋" w:hAnsi="仿宋" w:eastAsia="仿宋" w:cs="仿宋"/>
          <w:color w:val="auto"/>
          <w:sz w:val="18"/>
          <w:szCs w:val="20"/>
          <w:highlight w:val="none"/>
        </w:rPr>
        <w:sectPr>
          <w:footnotePr/>
          <w:endnotePr/>
          <w:type w:val="nextPage"/>
          <w:pgSz w:w="11920" w:h="16845" w:orient="portrait"/>
          <w:pgMar w:top="1440" w:right="1110" w:bottom="668" w:left="1280" w:header="0" w:footer="0" w:gutter="0"/>
          <w:cols w:num="1" w:sep="0" w:space="1701" w:equalWidth="0">
            <w:col w:w="9520" w:space="0"/>
          </w:cols>
          <w:docGrid w:linePitch="360"/>
        </w:sectPr>
      </w:pPr>
      <w:r>
        <w:rPr>
          <w:rFonts w:hint="eastAsia" w:ascii="仿宋" w:hAnsi="仿宋" w:eastAsia="仿宋" w:cs="仿宋"/>
          <w:color w:val="auto"/>
          <w:sz w:val="18"/>
          <w:szCs w:val="20"/>
          <w:highlight w:val="none"/>
        </w:rPr>
      </w:r>
      <w:r/>
    </w:p>
    <w:p>
      <w:pPr>
        <w:jc w:val="center"/>
        <w:shd w:val="clear" w:color="auto"/>
        <w:widowControl/>
        <w:rPr>
          <w:rFonts w:hint="eastAsia" w:ascii="仿宋" w:hAnsi="仿宋" w:eastAsia="仿宋" w:cs="仿宋"/>
          <w:color w:val="auto"/>
          <w:sz w:val="29"/>
          <w:szCs w:val="20"/>
          <w:highlight w:val="none"/>
        </w:rPr>
      </w:pPr>
      <w:r>
        <w:rPr>
          <w:rFonts w:hint="eastAsia" w:ascii="仿宋" w:hAnsi="仿宋" w:eastAsia="仿宋" w:cs="仿宋"/>
          <w:color w:val="auto"/>
          <w:sz w:val="29"/>
          <w:szCs w:val="20"/>
          <w:highlight w:val="none"/>
        </w:rPr>
        <w:t xml:space="preserve">（二）按磋商文件要求供应商所能提供的其他文件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935"/>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2">
    <w:multiLevelType w:val="hybridMultilevel"/>
    <w:lvl w:ilvl="0">
      <w:start w:val="1"/>
      <w:numFmt w:val="decimal"/>
      <w:pStyle w:val="934"/>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3">
    <w:multiLevelType w:val="hybridMultilevel"/>
    <w:lvl w:ilvl="0">
      <w:start w:val="1"/>
      <w:numFmt w:val="upperLetter"/>
      <w:pStyle w:val="9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2">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9">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2">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3">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4">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5">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6">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9">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0">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1">
    <w:name w:val="TOC Heading"/>
    <w:uiPriority w:val="39"/>
    <w:unhideWhenUsed/>
  </w:style>
  <w:style w:type="paragraph" w:styleId="69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101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List 3"/>
    <w:basedOn w:val="692"/>
    <w:uiPriority w:val="0"/>
    <w:qFormat/>
    <w:pPr>
      <w:ind w:left="100" w:hanging="200"/>
    </w:pPr>
    <w:rPr>
      <w:rFonts w:ascii="Times New Roman" w:hAnsi="Times New Roman"/>
      <w:szCs w:val="21"/>
    </w:rPr>
  </w:style>
  <w:style w:type="paragraph" w:styleId="705">
    <w:name w:val="toc 7"/>
    <w:basedOn w:val="692"/>
    <w:next w:val="692"/>
    <w:uiPriority w:val="39"/>
    <w:unhideWhenUsed/>
    <w:qFormat/>
    <w:pPr>
      <w:ind w:left="2520"/>
    </w:pPr>
  </w:style>
  <w:style w:type="paragraph" w:styleId="706">
    <w:name w:val="Normal Indent"/>
    <w:basedOn w:val="692"/>
    <w:link w:val="922"/>
    <w:uiPriority w:val="0"/>
    <w:qFormat/>
    <w:pPr>
      <w:ind w:firstLine="420"/>
    </w:pPr>
    <w:rPr>
      <w:rFonts w:ascii="Times New Roman" w:hAnsi="Times New Roman"/>
      <w:szCs w:val="20"/>
    </w:r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709"/>
    <w:link w:val="983"/>
    <w:uiPriority w:val="99"/>
    <w:unhideWhenUsed/>
    <w:qFormat/>
    <w:pPr>
      <w:jc w:val="left"/>
      <w:spacing w:line="360" w:lineRule="auto"/>
    </w:pPr>
    <w:rPr>
      <w:rFonts w:ascii="Times New Roman" w:hAnsi="Times New Roman"/>
      <w:sz w:val="24"/>
      <w:szCs w:val="24"/>
    </w:rPr>
  </w:style>
  <w:style w:type="paragraph" w:styleId="709" w:customStyle="1">
    <w:name w:val="Normal_11"/>
    <w:uiPriority w:val="0"/>
    <w:qFormat/>
    <w:pPr>
      <w:jc w:val="both"/>
      <w:widowControl w:val="off"/>
    </w:pPr>
    <w:rPr>
      <w:rFonts w:ascii="Calibri" w:hAnsi="Calibri" w:eastAsia="宋体" w:cs="Times New Roman"/>
      <w:sz w:val="21"/>
      <w:szCs w:val="22"/>
      <w:lang w:val="en-US" w:eastAsia="zh-CN" w:bidi="ar-SA"/>
    </w:rPr>
  </w:style>
  <w:style w:type="paragraph" w:styleId="710">
    <w:name w:val="Body Text"/>
    <w:basedOn w:val="692"/>
    <w:next w:val="692"/>
    <w:link w:val="917"/>
    <w:uiPriority w:val="0"/>
    <w:qFormat/>
    <w:rPr>
      <w:rFonts w:ascii="楷体_GB2312" w:hAnsi="Arial" w:eastAsia="楷体_GB2312"/>
      <w:sz w:val="28"/>
      <w:szCs w:val="20"/>
    </w:rPr>
  </w:style>
  <w:style w:type="paragraph" w:styleId="711">
    <w:name w:val="Body Text Indent"/>
    <w:basedOn w:val="692"/>
    <w:next w:val="692"/>
    <w:link w:val="919"/>
    <w:uiPriority w:val="99"/>
    <w:semiHidden/>
    <w:unhideWhenUsed/>
    <w:qFormat/>
    <w:pPr>
      <w:ind w:left="420"/>
      <w:spacing w:after="120"/>
    </w:pPr>
  </w:style>
  <w:style w:type="paragraph" w:styleId="712">
    <w:name w:val="List Continue"/>
    <w:basedOn w:val="692"/>
    <w:uiPriority w:val="99"/>
    <w:semiHidden/>
    <w:unhideWhenUsed/>
    <w:qFormat/>
    <w:pPr>
      <w:contextualSpacing/>
      <w:ind w:left="420"/>
      <w:spacing w:after="120"/>
    </w:pPr>
  </w:style>
  <w:style w:type="paragraph" w:styleId="713">
    <w:name w:val="Block Text"/>
    <w:basedOn w:val="692"/>
    <w:uiPriority w:val="0"/>
    <w:qFormat/>
    <w:pPr>
      <w:ind w:left="630" w:right="630"/>
      <w:jc w:val="center"/>
    </w:pPr>
    <w:rPr>
      <w:rFonts w:ascii="宋体" w:hAnsi="Times New Roman"/>
      <w:b/>
      <w:sz w:val="32"/>
      <w:szCs w:val="24"/>
    </w:rPr>
  </w:style>
  <w:style w:type="paragraph" w:styleId="714">
    <w:name w:val="toc 5"/>
    <w:basedOn w:val="692"/>
    <w:next w:val="692"/>
    <w:uiPriority w:val="39"/>
    <w:unhideWhenUsed/>
    <w:qFormat/>
    <w:pPr>
      <w:ind w:left="1680"/>
    </w:pPr>
  </w:style>
  <w:style w:type="paragraph" w:styleId="715">
    <w:name w:val="toc 3"/>
    <w:basedOn w:val="692"/>
    <w:next w:val="692"/>
    <w:uiPriority w:val="39"/>
    <w:qFormat/>
    <w:pPr>
      <w:ind w:left="420"/>
      <w:jc w:val="left"/>
    </w:pPr>
    <w:rPr>
      <w:rFonts w:ascii="Times New Roman" w:hAnsi="Times New Roman"/>
      <w:iCs/>
      <w:szCs w:val="24"/>
    </w:rPr>
  </w:style>
  <w:style w:type="paragraph" w:styleId="716">
    <w:name w:val="Plain Text"/>
    <w:basedOn w:val="692"/>
    <w:link w:val="930"/>
    <w:uiPriority w:val="0"/>
    <w:qFormat/>
    <w:rPr>
      <w:rFonts w:ascii="宋体" w:hAnsi="Courier New" w:cs="Courier New"/>
      <w:szCs w:val="21"/>
    </w:rPr>
  </w:style>
  <w:style w:type="paragraph" w:styleId="717">
    <w:name w:val="toc 8"/>
    <w:basedOn w:val="692"/>
    <w:next w:val="692"/>
    <w:uiPriority w:val="39"/>
    <w:unhideWhenUsed/>
    <w:qFormat/>
    <w:pPr>
      <w:ind w:left="2940"/>
    </w:pPr>
  </w:style>
  <w:style w:type="paragraph" w:styleId="718">
    <w:name w:val="Date"/>
    <w:basedOn w:val="692"/>
    <w:next w:val="692"/>
    <w:link w:val="921"/>
    <w:uiPriority w:val="0"/>
    <w:qFormat/>
    <w:pPr>
      <w:ind w:left="100"/>
    </w:pPr>
    <w:rPr>
      <w:rFonts w:ascii="仿宋_GB2312" w:hAnsi="Times New Roman" w:eastAsia="仿宋_GB2312"/>
      <w:b/>
      <w:sz w:val="36"/>
      <w:szCs w:val="24"/>
    </w:rPr>
  </w:style>
  <w:style w:type="paragraph" w:styleId="719">
    <w:name w:val="endnote text"/>
    <w:basedOn w:val="692"/>
    <w:link w:val="913"/>
    <w:uiPriority w:val="99"/>
    <w:semiHidden/>
    <w:unhideWhenUsed/>
    <w:qFormat/>
    <w:rPr>
      <w:sz w:val="20"/>
    </w:rPr>
  </w:style>
  <w:style w:type="paragraph" w:styleId="720">
    <w:name w:val="Balloon Text"/>
    <w:basedOn w:val="692"/>
    <w:link w:val="927"/>
    <w:uiPriority w:val="99"/>
    <w:semiHidden/>
    <w:unhideWhenUsed/>
    <w:qFormat/>
    <w:rPr>
      <w:sz w:val="18"/>
      <w:szCs w:val="18"/>
    </w:rPr>
  </w:style>
  <w:style w:type="paragraph" w:styleId="721">
    <w:name w:val="Footer"/>
    <w:basedOn w:val="692"/>
    <w:link w:val="1013"/>
    <w:uiPriority w:val="99"/>
    <w:unhideWhenUsed/>
    <w:qFormat/>
    <w:pPr>
      <w:jc w:val="left"/>
      <w:tabs>
        <w:tab w:val="center" w:pos="4153" w:leader="none"/>
        <w:tab w:val="right" w:pos="8306" w:leader="none"/>
      </w:tabs>
    </w:pPr>
    <w:rPr>
      <w:sz w:val="18"/>
      <w:szCs w:val="18"/>
    </w:rPr>
  </w:style>
  <w:style w:type="paragraph" w:styleId="722">
    <w:name w:val="Header"/>
    <w:basedOn w:val="692"/>
    <w:link w:val="101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2"/>
    <w:next w:val="692"/>
    <w:uiPriority w:val="39"/>
    <w:qFormat/>
    <w:pPr>
      <w:jc w:val="left"/>
      <w:spacing w:before="120" w:after="120"/>
    </w:pPr>
    <w:rPr>
      <w:rFonts w:ascii="楷体_GB2312" w:hAnsi="Times New Roman"/>
      <w:b/>
      <w:bCs/>
      <w:caps/>
      <w:sz w:val="44"/>
      <w:szCs w:val="44"/>
    </w:rPr>
  </w:style>
  <w:style w:type="paragraph" w:styleId="724">
    <w:name w:val="toc 4"/>
    <w:basedOn w:val="692"/>
    <w:next w:val="692"/>
    <w:uiPriority w:val="39"/>
    <w:unhideWhenUsed/>
    <w:qFormat/>
    <w:pPr>
      <w:ind w:left="1260"/>
    </w:pPr>
  </w:style>
  <w:style w:type="paragraph" w:styleId="725">
    <w:name w:val="Subtitle"/>
    <w:basedOn w:val="692"/>
    <w:next w:val="692"/>
    <w:link w:val="795"/>
    <w:uiPriority w:val="11"/>
    <w:qFormat/>
    <w:pPr>
      <w:spacing w:before="200" w:after="200"/>
    </w:pPr>
    <w:rPr>
      <w:sz w:val="24"/>
      <w:szCs w:val="24"/>
    </w:rPr>
  </w:style>
  <w:style w:type="paragraph" w:styleId="726">
    <w:name w:val="footnote text"/>
    <w:basedOn w:val="692"/>
    <w:link w:val="912"/>
    <w:uiPriority w:val="99"/>
    <w:semiHidden/>
    <w:unhideWhenUsed/>
    <w:qFormat/>
    <w:pPr>
      <w:spacing w:after="40"/>
    </w:pPr>
    <w:rPr>
      <w:sz w:val="18"/>
    </w:rPr>
  </w:style>
  <w:style w:type="paragraph" w:styleId="727">
    <w:name w:val="toc 6"/>
    <w:basedOn w:val="692"/>
    <w:next w:val="692"/>
    <w:uiPriority w:val="39"/>
    <w:unhideWhenUsed/>
    <w:qFormat/>
    <w:pPr>
      <w:ind w:left="2100"/>
    </w:pPr>
  </w:style>
  <w:style w:type="paragraph" w:styleId="728">
    <w:name w:val="Body Text Indent 3"/>
    <w:basedOn w:val="692"/>
    <w:link w:val="920"/>
    <w:uiPriority w:val="99"/>
    <w:semiHidden/>
    <w:unhideWhenUsed/>
    <w:qFormat/>
    <w:pPr>
      <w:ind w:left="420"/>
      <w:spacing w:after="120"/>
    </w:pPr>
    <w:rPr>
      <w:sz w:val="16"/>
      <w:szCs w:val="16"/>
    </w:rPr>
  </w:style>
  <w:style w:type="paragraph" w:styleId="729">
    <w:name w:val="table of figures"/>
    <w:basedOn w:val="692"/>
    <w:next w:val="692"/>
    <w:uiPriority w:val="99"/>
    <w:unhideWhenUsed/>
    <w:qFormat/>
  </w:style>
  <w:style w:type="paragraph" w:styleId="730">
    <w:name w:val="toc 2"/>
    <w:basedOn w:val="692"/>
    <w:next w:val="692"/>
    <w:uiPriority w:val="39"/>
    <w:unhideWhenUsed/>
    <w:qFormat/>
    <w:pPr>
      <w:ind w:left="200"/>
    </w:pPr>
  </w:style>
  <w:style w:type="paragraph" w:styleId="731">
    <w:name w:val="toc 9"/>
    <w:basedOn w:val="692"/>
    <w:next w:val="692"/>
    <w:uiPriority w:val="39"/>
    <w:unhideWhenUsed/>
    <w:qFormat/>
    <w:pPr>
      <w:ind w:left="3360"/>
    </w:pPr>
  </w:style>
  <w:style w:type="paragraph" w:styleId="732">
    <w:name w:val="Normal (Web)"/>
    <w:basedOn w:val="692"/>
    <w:link w:val="928"/>
    <w:uiPriority w:val="99"/>
    <w:qFormat/>
    <w:pPr>
      <w:jc w:val="left"/>
      <w:spacing w:before="100" w:beforeAutospacing="1" w:after="100" w:afterAutospacing="1"/>
      <w:widowControl/>
    </w:pPr>
    <w:rPr>
      <w:rFonts w:ascii="宋体" w:hAnsi="宋体" w:cs="宋体"/>
      <w:color w:val="000000"/>
      <w:sz w:val="24"/>
      <w:szCs w:val="24"/>
    </w:rPr>
  </w:style>
  <w:style w:type="paragraph" w:styleId="733">
    <w:name w:val="Title"/>
    <w:basedOn w:val="692"/>
    <w:next w:val="692"/>
    <w:link w:val="794"/>
    <w:uiPriority w:val="10"/>
    <w:qFormat/>
    <w:pPr>
      <w:contextualSpacing/>
      <w:spacing w:before="300" w:after="200"/>
    </w:pPr>
    <w:rPr>
      <w:sz w:val="48"/>
      <w:szCs w:val="48"/>
    </w:rPr>
  </w:style>
  <w:style w:type="paragraph" w:styleId="734">
    <w:name w:val="Body Text First Indent"/>
    <w:basedOn w:val="710"/>
    <w:uiPriority w:val="0"/>
    <w:qFormat/>
    <w:pPr>
      <w:ind w:firstLine="200"/>
      <w:spacing w:line="360" w:lineRule="auto"/>
    </w:pPr>
    <w:rPr>
      <w:rFonts w:ascii="仿宋_GB2312" w:eastAsia="仿宋_GB2312"/>
      <w:sz w:val="30"/>
      <w:szCs w:val="30"/>
    </w:rPr>
  </w:style>
  <w:style w:type="paragraph" w:styleId="735">
    <w:name w:val="Body Text First Indent 2"/>
    <w:basedOn w:val="711"/>
    <w:uiPriority w:val="0"/>
    <w:qFormat/>
    <w:pPr>
      <w:ind w:left="420" w:firstLine="420"/>
      <w:spacing w:after="120" w:line="240" w:lineRule="auto"/>
    </w:pPr>
    <w:rPr>
      <w:szCs w:val="24"/>
    </w:rPr>
  </w:style>
  <w:style w:type="table" w:styleId="736">
    <w:name w:val="Table Grid"/>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2"/>
    <w:uiPriority w:val="22"/>
    <w:qFormat/>
    <w:rPr>
      <w:b/>
    </w:rPr>
  </w:style>
  <w:style w:type="character" w:styleId="738">
    <w:name w:val="endnote reference"/>
    <w:uiPriority w:val="99"/>
    <w:semiHidden/>
    <w:unhideWhenUsed/>
    <w:qFormat/>
    <w:rPr>
      <w:vertAlign w:val="superscript"/>
    </w:rPr>
  </w:style>
  <w:style w:type="character" w:styleId="739">
    <w:name w:val="page number"/>
    <w:basedOn w:val="702"/>
    <w:uiPriority w:val="0"/>
    <w:qFormat/>
  </w:style>
  <w:style w:type="character" w:styleId="740">
    <w:name w:val="FollowedHyperlink"/>
    <w:uiPriority w:val="99"/>
    <w:semiHidden/>
    <w:unhideWhenUsed/>
    <w:qFormat/>
    <w:rPr>
      <w:color w:val="800080"/>
      <w:u w:val="single"/>
    </w:rPr>
  </w:style>
  <w:style w:type="character" w:styleId="741">
    <w:name w:val="Hyperlink"/>
    <w:uiPriority w:val="99"/>
    <w:qFormat/>
    <w:rPr>
      <w:color w:val="0000ff"/>
      <w:u w:val="single"/>
    </w:rPr>
  </w:style>
  <w:style w:type="character" w:styleId="742">
    <w:name w:val="footnote reference"/>
    <w:uiPriority w:val="99"/>
    <w:unhideWhenUsed/>
    <w:qFormat/>
    <w:rPr>
      <w:vertAlign w:val="superscript"/>
    </w:rPr>
  </w:style>
  <w:style w:type="paragraph" w:styleId="743" w:customStyle="1">
    <w:name w:val="首行缩进"/>
    <w:basedOn w:val="692"/>
    <w:uiPriority w:val="0"/>
    <w:qFormat/>
    <w:pPr>
      <w:ind w:firstLine="480"/>
    </w:pPr>
    <w:rPr>
      <w:szCs w:val="20"/>
      <w:lang w:val="zh-CN"/>
    </w:rPr>
  </w:style>
  <w:style w:type="table" w:styleId="744"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70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70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70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清单表 1 浅色1"/>
    <w:basedOn w:val="70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清单表 7 彩色1"/>
    <w:basedOn w:val="70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Heading 4 Char"/>
    <w:basedOn w:val="702"/>
    <w:uiPriority w:val="9"/>
    <w:qFormat/>
    <w:rPr>
      <w:rFonts w:ascii="Arial" w:hAnsi="Arial" w:eastAsia="Arial" w:cs="Arial"/>
      <w:b/>
      <w:bCs/>
      <w:sz w:val="26"/>
      <w:szCs w:val="26"/>
    </w:rPr>
  </w:style>
  <w:style w:type="character" w:styleId="764" w:customStyle="1">
    <w:name w:val="Heading 5 Char"/>
    <w:basedOn w:val="702"/>
    <w:uiPriority w:val="9"/>
    <w:qFormat/>
    <w:rPr>
      <w:rFonts w:ascii="Arial" w:hAnsi="Arial" w:eastAsia="Arial" w:cs="Arial"/>
      <w:b/>
      <w:bCs/>
      <w:sz w:val="24"/>
      <w:szCs w:val="24"/>
    </w:rPr>
  </w:style>
  <w:style w:type="character" w:styleId="765" w:customStyle="1">
    <w:name w:val="Heading 6 Char"/>
    <w:basedOn w:val="702"/>
    <w:uiPriority w:val="9"/>
    <w:qFormat/>
    <w:rPr>
      <w:rFonts w:ascii="Arial" w:hAnsi="Arial" w:eastAsia="Arial" w:cs="Arial"/>
      <w:b/>
      <w:bCs/>
      <w:sz w:val="22"/>
      <w:szCs w:val="22"/>
    </w:rPr>
  </w:style>
  <w:style w:type="character" w:styleId="766" w:customStyle="1">
    <w:name w:val="Heading 8 Char"/>
    <w:basedOn w:val="702"/>
    <w:uiPriority w:val="9"/>
    <w:qFormat/>
    <w:rPr>
      <w:rFonts w:ascii="Arial" w:hAnsi="Arial" w:eastAsia="Arial" w:cs="Arial"/>
      <w:i/>
      <w:iCs/>
      <w:sz w:val="22"/>
      <w:szCs w:val="22"/>
    </w:rPr>
  </w:style>
  <w:style w:type="character" w:styleId="767" w:customStyle="1">
    <w:name w:val="Heading 9 Char"/>
    <w:basedOn w:val="702"/>
    <w:uiPriority w:val="9"/>
    <w:qFormat/>
    <w:rPr>
      <w:rFonts w:ascii="Arial" w:hAnsi="Arial" w:eastAsia="Arial" w:cs="Arial"/>
      <w:i/>
      <w:iCs/>
      <w:sz w:val="21"/>
      <w:szCs w:val="21"/>
    </w:rPr>
  </w:style>
  <w:style w:type="character" w:styleId="768" w:customStyle="1">
    <w:name w:val="Title Char"/>
    <w:basedOn w:val="702"/>
    <w:uiPriority w:val="10"/>
    <w:qFormat/>
    <w:rPr>
      <w:sz w:val="48"/>
      <w:szCs w:val="48"/>
    </w:rPr>
  </w:style>
  <w:style w:type="character" w:styleId="769" w:customStyle="1">
    <w:name w:val="Subtitle Char"/>
    <w:basedOn w:val="702"/>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标题 11"/>
    <w:basedOn w:val="692"/>
    <w:next w:val="692"/>
    <w:link w:val="941"/>
    <w:uiPriority w:val="9"/>
    <w:qFormat/>
    <w:pPr>
      <w:keepLines/>
      <w:keepNext/>
      <w:spacing w:before="340" w:after="330" w:line="578" w:lineRule="atLeast"/>
      <w:outlineLvl w:val="0"/>
    </w:pPr>
    <w:rPr>
      <w:b/>
      <w:bCs/>
      <w:sz w:val="44"/>
      <w:szCs w:val="44"/>
    </w:rPr>
  </w:style>
  <w:style w:type="paragraph" w:styleId="775" w:customStyle="1">
    <w:name w:val="标题 21"/>
    <w:basedOn w:val="692"/>
    <w:next w:val="692"/>
    <w:link w:val="915"/>
    <w:uiPriority w:val="9"/>
    <w:qFormat/>
    <w:pPr>
      <w:jc w:val="center"/>
      <w:keepLines/>
      <w:keepNext/>
      <w:spacing w:before="260" w:after="260" w:line="416" w:lineRule="auto"/>
      <w:outlineLvl w:val="1"/>
    </w:pPr>
    <w:rPr>
      <w:rFonts w:ascii="幼圆" w:hAnsi="Arial" w:eastAsia="楷体_GB2312"/>
      <w:b/>
      <w:sz w:val="24"/>
      <w:szCs w:val="20"/>
    </w:rPr>
  </w:style>
  <w:style w:type="paragraph" w:styleId="776" w:customStyle="1">
    <w:name w:val="标题 31"/>
    <w:basedOn w:val="692"/>
    <w:next w:val="692"/>
    <w:link w:val="916"/>
    <w:uiPriority w:val="9"/>
    <w:qFormat/>
    <w:pPr>
      <w:keepLines/>
      <w:keepNext/>
      <w:spacing w:before="260" w:after="260" w:line="416" w:lineRule="atLeast"/>
      <w:outlineLvl w:val="2"/>
    </w:pPr>
    <w:rPr>
      <w:b/>
      <w:bCs/>
      <w:sz w:val="32"/>
      <w:szCs w:val="32"/>
    </w:rPr>
  </w:style>
  <w:style w:type="paragraph" w:styleId="777" w:customStyle="1">
    <w:name w:val="标题 41"/>
    <w:basedOn w:val="692"/>
    <w:next w:val="692"/>
    <w:link w:val="786"/>
    <w:uiPriority w:val="9"/>
    <w:unhideWhenUsed/>
    <w:qFormat/>
    <w:pPr>
      <w:keepLines/>
      <w:keepNext/>
      <w:spacing w:before="320" w:after="200"/>
      <w:outlineLvl w:val="3"/>
    </w:pPr>
    <w:rPr>
      <w:rFonts w:ascii="Arial" w:hAnsi="Arial" w:eastAsia="Arial" w:cs="Arial"/>
      <w:b/>
      <w:bCs/>
      <w:sz w:val="26"/>
      <w:szCs w:val="26"/>
    </w:rPr>
  </w:style>
  <w:style w:type="paragraph" w:styleId="778" w:customStyle="1">
    <w:name w:val="标题 51"/>
    <w:basedOn w:val="692"/>
    <w:next w:val="692"/>
    <w:link w:val="787"/>
    <w:uiPriority w:val="9"/>
    <w:unhideWhenUsed/>
    <w:qFormat/>
    <w:pPr>
      <w:keepLines/>
      <w:keepNext/>
      <w:spacing w:before="320" w:after="200"/>
      <w:outlineLvl w:val="4"/>
    </w:pPr>
    <w:rPr>
      <w:rFonts w:ascii="Arial" w:hAnsi="Arial" w:eastAsia="Arial" w:cs="Arial"/>
      <w:b/>
      <w:bCs/>
      <w:sz w:val="24"/>
      <w:szCs w:val="24"/>
    </w:rPr>
  </w:style>
  <w:style w:type="paragraph" w:styleId="779" w:customStyle="1">
    <w:name w:val="标题 61"/>
    <w:basedOn w:val="692"/>
    <w:next w:val="692"/>
    <w:link w:val="788"/>
    <w:uiPriority w:val="9"/>
    <w:unhideWhenUsed/>
    <w:qFormat/>
    <w:pPr>
      <w:keepLines/>
      <w:keepNext/>
      <w:spacing w:before="320" w:after="200"/>
      <w:outlineLvl w:val="5"/>
    </w:pPr>
    <w:rPr>
      <w:rFonts w:ascii="Arial" w:hAnsi="Arial" w:eastAsia="Arial" w:cs="Arial"/>
      <w:b/>
      <w:bCs/>
      <w:sz w:val="22"/>
    </w:rPr>
  </w:style>
  <w:style w:type="paragraph" w:styleId="780" w:customStyle="1">
    <w:name w:val="标题 71"/>
    <w:basedOn w:val="692"/>
    <w:next w:val="692"/>
    <w:link w:val="940"/>
    <w:uiPriority w:val="9"/>
    <w:qFormat/>
    <w:pPr>
      <w:keepLines/>
      <w:keepNext/>
      <w:spacing w:before="240" w:after="64" w:line="320" w:lineRule="atLeast"/>
      <w:outlineLvl w:val="6"/>
    </w:pPr>
    <w:rPr>
      <w:b/>
      <w:bCs/>
      <w:sz w:val="24"/>
      <w:szCs w:val="24"/>
    </w:rPr>
  </w:style>
  <w:style w:type="paragraph" w:styleId="781" w:customStyle="1">
    <w:name w:val="标题 81"/>
    <w:basedOn w:val="692"/>
    <w:next w:val="692"/>
    <w:link w:val="790"/>
    <w:uiPriority w:val="9"/>
    <w:unhideWhenUsed/>
    <w:qFormat/>
    <w:pPr>
      <w:keepLines/>
      <w:keepNext/>
      <w:spacing w:before="320" w:after="200"/>
      <w:outlineLvl w:val="7"/>
    </w:pPr>
    <w:rPr>
      <w:rFonts w:ascii="Arial" w:hAnsi="Arial" w:eastAsia="Arial" w:cs="Arial"/>
      <w:i/>
      <w:iCs/>
      <w:sz w:val="22"/>
    </w:rPr>
  </w:style>
  <w:style w:type="paragraph" w:styleId="782" w:customStyle="1">
    <w:name w:val="标题 91"/>
    <w:basedOn w:val="692"/>
    <w:next w:val="692"/>
    <w:link w:val="791"/>
    <w:uiPriority w:val="9"/>
    <w:unhideWhenUsed/>
    <w:qFormat/>
    <w:pPr>
      <w:keepLines/>
      <w:keepNext/>
      <w:spacing w:before="320" w:after="200"/>
      <w:outlineLvl w:val="8"/>
    </w:pPr>
    <w:rPr>
      <w:rFonts w:ascii="Arial" w:hAnsi="Arial" w:eastAsia="Arial" w:cs="Arial"/>
      <w:i/>
      <w:iCs/>
      <w:szCs w:val="21"/>
    </w:rPr>
  </w:style>
  <w:style w:type="character" w:styleId="783" w:customStyle="1">
    <w:name w:val="Heading 1 Char"/>
    <w:uiPriority w:val="9"/>
    <w:qFormat/>
    <w:rPr>
      <w:rFonts w:ascii="Arial" w:hAnsi="Arial" w:eastAsia="Arial" w:cs="Arial"/>
      <w:sz w:val="40"/>
      <w:szCs w:val="40"/>
    </w:rPr>
  </w:style>
  <w:style w:type="character" w:styleId="784" w:customStyle="1">
    <w:name w:val="Heading 2 Char"/>
    <w:uiPriority w:val="9"/>
    <w:qFormat/>
    <w:rPr>
      <w:rFonts w:ascii="Arial" w:hAnsi="Arial" w:eastAsia="Arial" w:cs="Arial"/>
      <w:sz w:val="34"/>
    </w:rPr>
  </w:style>
  <w:style w:type="character" w:styleId="785" w:customStyle="1">
    <w:name w:val="Heading 3 Char"/>
    <w:uiPriority w:val="9"/>
    <w:qFormat/>
    <w:rPr>
      <w:rFonts w:ascii="Arial" w:hAnsi="Arial" w:eastAsia="Arial" w:cs="Arial"/>
      <w:sz w:val="30"/>
      <w:szCs w:val="30"/>
    </w:rPr>
  </w:style>
  <w:style w:type="character" w:styleId="786" w:customStyle="1">
    <w:name w:val="标题 4 Char"/>
    <w:link w:val="777"/>
    <w:uiPriority w:val="9"/>
    <w:qFormat/>
    <w:rPr>
      <w:rFonts w:ascii="Arial" w:hAnsi="Arial" w:eastAsia="Arial" w:cs="Arial"/>
      <w:b/>
      <w:bCs/>
      <w:sz w:val="26"/>
      <w:szCs w:val="26"/>
    </w:rPr>
  </w:style>
  <w:style w:type="character" w:styleId="787" w:customStyle="1">
    <w:name w:val="标题 5 Char"/>
    <w:link w:val="778"/>
    <w:uiPriority w:val="9"/>
    <w:qFormat/>
    <w:rPr>
      <w:rFonts w:ascii="Arial" w:hAnsi="Arial" w:eastAsia="Arial" w:cs="Arial"/>
      <w:b/>
      <w:bCs/>
      <w:sz w:val="24"/>
      <w:szCs w:val="24"/>
    </w:rPr>
  </w:style>
  <w:style w:type="character" w:styleId="788" w:customStyle="1">
    <w:name w:val="标题 6 Char"/>
    <w:link w:val="779"/>
    <w:uiPriority w:val="9"/>
    <w:qFormat/>
    <w:rPr>
      <w:rFonts w:ascii="Arial" w:hAnsi="Arial" w:eastAsia="Arial" w:cs="Arial"/>
      <w:b/>
      <w:bCs/>
      <w:sz w:val="22"/>
      <w:szCs w:val="22"/>
    </w:rPr>
  </w:style>
  <w:style w:type="character" w:styleId="789" w:customStyle="1">
    <w:name w:val="Heading 7 Char"/>
    <w:uiPriority w:val="9"/>
    <w:qFormat/>
    <w:rPr>
      <w:rFonts w:ascii="Arial" w:hAnsi="Arial" w:eastAsia="Arial" w:cs="Arial"/>
      <w:b/>
      <w:bCs/>
      <w:i/>
      <w:iCs/>
      <w:sz w:val="22"/>
      <w:szCs w:val="22"/>
    </w:rPr>
  </w:style>
  <w:style w:type="character" w:styleId="790" w:customStyle="1">
    <w:name w:val="标题 8 Char"/>
    <w:link w:val="781"/>
    <w:uiPriority w:val="9"/>
    <w:qFormat/>
    <w:rPr>
      <w:rFonts w:ascii="Arial" w:hAnsi="Arial" w:eastAsia="Arial" w:cs="Arial"/>
      <w:i/>
      <w:iCs/>
      <w:sz w:val="22"/>
      <w:szCs w:val="22"/>
    </w:rPr>
  </w:style>
  <w:style w:type="character" w:styleId="791" w:customStyle="1">
    <w:name w:val="标题 9 Char"/>
    <w:link w:val="782"/>
    <w:uiPriority w:val="9"/>
    <w:qFormat/>
    <w:rPr>
      <w:rFonts w:ascii="Arial" w:hAnsi="Arial" w:eastAsia="Arial" w:cs="Arial"/>
      <w:i/>
      <w:iCs/>
      <w:sz w:val="21"/>
      <w:szCs w:val="21"/>
    </w:rPr>
  </w:style>
  <w:style w:type="paragraph" w:styleId="792">
    <w:name w:val="List Paragraph"/>
    <w:basedOn w:val="692"/>
    <w:uiPriority w:val="34"/>
    <w:qFormat/>
    <w:pPr>
      <w:contextualSpacing/>
      <w:ind w:left="720"/>
    </w:pPr>
  </w:style>
  <w:style w:type="paragraph" w:styleId="793">
    <w:name w:val="No Spacing"/>
    <w:uiPriority w:val="1"/>
    <w:qFormat/>
    <w:rPr>
      <w:rFonts w:ascii="Calibri" w:hAnsi="Calibri" w:eastAsia="宋体" w:cs="Times New Roman"/>
      <w:lang w:val="en-US" w:eastAsia="zh-CN" w:bidi="ar-SA"/>
    </w:rPr>
  </w:style>
  <w:style w:type="character" w:styleId="794" w:customStyle="1">
    <w:name w:val="标题 字符"/>
    <w:link w:val="733"/>
    <w:uiPriority w:val="10"/>
    <w:qFormat/>
    <w:rPr>
      <w:sz w:val="48"/>
      <w:szCs w:val="48"/>
    </w:rPr>
  </w:style>
  <w:style w:type="character" w:styleId="795" w:customStyle="1">
    <w:name w:val="副标题 字符"/>
    <w:link w:val="725"/>
    <w:uiPriority w:val="11"/>
    <w:qFormat/>
    <w:rPr>
      <w:sz w:val="24"/>
      <w:szCs w:val="24"/>
    </w:rPr>
  </w:style>
  <w:style w:type="paragraph" w:styleId="796">
    <w:name w:val="Quote"/>
    <w:basedOn w:val="692"/>
    <w:next w:val="692"/>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692"/>
    <w:next w:val="692"/>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paragraph" w:styleId="800" w:customStyle="1">
    <w:name w:val="页眉1"/>
    <w:basedOn w:val="692"/>
    <w:link w:val="924"/>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801" w:customStyle="1">
    <w:name w:val="Header Char"/>
    <w:uiPriority w:val="99"/>
    <w:qFormat/>
  </w:style>
  <w:style w:type="paragraph" w:styleId="802" w:customStyle="1">
    <w:name w:val="页脚1"/>
    <w:basedOn w:val="692"/>
    <w:link w:val="925"/>
    <w:uiPriority w:val="99"/>
    <w:unhideWhenUsed/>
    <w:qFormat/>
    <w:pPr>
      <w:jc w:val="left"/>
      <w:spacing w:line="240" w:lineRule="atLeast"/>
      <w:tabs>
        <w:tab w:val="center" w:pos="4153" w:leader="none"/>
        <w:tab w:val="right" w:pos="8306" w:leader="none"/>
      </w:tabs>
    </w:pPr>
    <w:rPr>
      <w:sz w:val="18"/>
      <w:szCs w:val="18"/>
    </w:rPr>
  </w:style>
  <w:style w:type="character" w:styleId="803" w:customStyle="1">
    <w:name w:val="Footer Char"/>
    <w:uiPriority w:val="99"/>
    <w:qFormat/>
  </w:style>
  <w:style w:type="paragraph" w:styleId="804" w:customStyle="1">
    <w:name w:val="题注1"/>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05" w:customStyle="1">
    <w:name w:val="Caption Char"/>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26"/>
    <w:uiPriority w:val="99"/>
    <w:qFormat/>
    <w:rPr>
      <w:sz w:val="18"/>
    </w:rPr>
  </w:style>
  <w:style w:type="character" w:styleId="913" w:customStyle="1">
    <w:name w:val="尾注文本 字符"/>
    <w:link w:val="719"/>
    <w:uiPriority w:val="99"/>
    <w:qFormat/>
    <w:rPr>
      <w:sz w:val="20"/>
    </w:rPr>
  </w:style>
  <w:style w:type="paragraph" w:styleId="914" w:customStyle="1">
    <w:name w:val="TOC 标题1"/>
    <w:uiPriority w:val="39"/>
    <w:unhideWhenUsed/>
    <w:qFormat/>
    <w:rPr>
      <w:rFonts w:ascii="Calibri" w:hAnsi="Calibri" w:eastAsia="宋体" w:cs="Times New Roman"/>
      <w:lang w:val="en-US" w:eastAsia="zh-CN" w:bidi="ar-SA"/>
    </w:rPr>
  </w:style>
  <w:style w:type="character" w:styleId="915" w:customStyle="1">
    <w:name w:val="标题 2 Char"/>
    <w:link w:val="775"/>
    <w:uiPriority w:val="9"/>
    <w:qFormat/>
    <w:rPr>
      <w:rFonts w:ascii="幼圆" w:hAnsi="Arial" w:eastAsia="楷体_GB2312" w:cs="Times New Roman"/>
      <w:b/>
      <w:sz w:val="24"/>
      <w:szCs w:val="20"/>
    </w:rPr>
  </w:style>
  <w:style w:type="character" w:styleId="916" w:customStyle="1">
    <w:name w:val="标题 3 Char"/>
    <w:link w:val="776"/>
    <w:uiPriority w:val="9"/>
    <w:qFormat/>
    <w:rPr>
      <w:b/>
      <w:bCs/>
      <w:sz w:val="32"/>
      <w:szCs w:val="32"/>
    </w:rPr>
  </w:style>
  <w:style w:type="character" w:styleId="917" w:customStyle="1">
    <w:name w:val="正文文本 字符"/>
    <w:link w:val="710"/>
    <w:uiPriority w:val="0"/>
    <w:qFormat/>
    <w:rPr>
      <w:rFonts w:ascii="楷体_GB2312" w:hAnsi="Arial" w:eastAsia="楷体_GB2312" w:cs="Times New Roman"/>
      <w:sz w:val="28"/>
      <w:szCs w:val="20"/>
    </w:rPr>
  </w:style>
  <w:style w:type="paragraph" w:styleId="918" w:customStyle="1">
    <w:name w:val="列表段落1"/>
    <w:basedOn w:val="692"/>
    <w:uiPriority w:val="34"/>
    <w:qFormat/>
    <w:pPr>
      <w:ind w:firstLine="420"/>
    </w:pPr>
    <w:rPr>
      <w:rFonts w:ascii="等线" w:hAnsi="等线" w:eastAsia="等线" w:cs="宋体"/>
    </w:rPr>
  </w:style>
  <w:style w:type="character" w:styleId="919" w:customStyle="1">
    <w:name w:val="正文文本缩进 字符"/>
    <w:basedOn w:val="702"/>
    <w:link w:val="711"/>
    <w:uiPriority w:val="99"/>
    <w:semiHidden/>
    <w:qFormat/>
  </w:style>
  <w:style w:type="character" w:styleId="920" w:customStyle="1">
    <w:name w:val="正文文本缩进 3 字符"/>
    <w:link w:val="728"/>
    <w:uiPriority w:val="99"/>
    <w:semiHidden/>
    <w:qFormat/>
    <w:rPr>
      <w:sz w:val="16"/>
      <w:szCs w:val="16"/>
    </w:rPr>
  </w:style>
  <w:style w:type="character" w:styleId="921" w:customStyle="1">
    <w:name w:val="日期 字符"/>
    <w:link w:val="718"/>
    <w:uiPriority w:val="0"/>
    <w:qFormat/>
    <w:rPr>
      <w:rFonts w:ascii="仿宋_GB2312" w:hAnsi="Times New Roman" w:eastAsia="仿宋_GB2312" w:cs="Times New Roman"/>
      <w:b/>
      <w:sz w:val="36"/>
      <w:szCs w:val="24"/>
    </w:rPr>
  </w:style>
  <w:style w:type="character" w:styleId="922" w:customStyle="1">
    <w:name w:val="正文缩进 字符1"/>
    <w:link w:val="706"/>
    <w:uiPriority w:val="0"/>
    <w:qFormat/>
    <w:rPr>
      <w:rFonts w:ascii="Times New Roman" w:hAnsi="Times New Roman" w:eastAsia="宋体" w:cs="Times New Roman"/>
      <w:szCs w:val="20"/>
    </w:rPr>
  </w:style>
  <w:style w:type="character" w:styleId="923" w:customStyle="1">
    <w:name w:val="htd0"/>
    <w:basedOn w:val="702"/>
    <w:uiPriority w:val="0"/>
    <w:qFormat/>
  </w:style>
  <w:style w:type="character" w:styleId="924" w:customStyle="1">
    <w:name w:val="页眉 Char"/>
    <w:link w:val="800"/>
    <w:uiPriority w:val="99"/>
    <w:qFormat/>
    <w:rPr>
      <w:sz w:val="18"/>
      <w:szCs w:val="18"/>
    </w:rPr>
  </w:style>
  <w:style w:type="character" w:styleId="925" w:customStyle="1">
    <w:name w:val="页脚 Char"/>
    <w:link w:val="802"/>
    <w:uiPriority w:val="99"/>
    <w:qFormat/>
    <w:rPr>
      <w:sz w:val="18"/>
      <w:szCs w:val="18"/>
    </w:rPr>
  </w:style>
  <w:style w:type="paragraph" w:styleId="926"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927" w:customStyle="1">
    <w:name w:val="批注框文本 字符"/>
    <w:link w:val="720"/>
    <w:uiPriority w:val="99"/>
    <w:semiHidden/>
    <w:qFormat/>
    <w:rPr>
      <w:sz w:val="18"/>
      <w:szCs w:val="18"/>
    </w:rPr>
  </w:style>
  <w:style w:type="character" w:styleId="928" w:customStyle="1">
    <w:name w:val="普通(网站) 字符"/>
    <w:link w:val="732"/>
    <w:uiPriority w:val="0"/>
    <w:qFormat/>
    <w:rPr>
      <w:rFonts w:ascii="宋体" w:hAnsi="宋体" w:eastAsia="宋体" w:cs="宋体"/>
      <w:color w:val="000000"/>
      <w:sz w:val="24"/>
      <w:szCs w:val="24"/>
    </w:rPr>
  </w:style>
  <w:style w:type="character" w:styleId="929" w:customStyle="1">
    <w:name w:val="正文缩进 Char3"/>
    <w:uiPriority w:val="0"/>
    <w:qFormat/>
    <w:rPr>
      <w:rFonts w:ascii="Times New Roman" w:hAnsi="Times New Roman" w:eastAsia="宋体" w:cs="Times New Roman"/>
      <w:szCs w:val="24"/>
    </w:rPr>
  </w:style>
  <w:style w:type="character" w:styleId="930" w:customStyle="1">
    <w:name w:val="纯文本 字符"/>
    <w:link w:val="716"/>
    <w:uiPriority w:val="0"/>
    <w:qFormat/>
    <w:rPr>
      <w:rFonts w:ascii="宋体" w:hAnsi="Courier New" w:cs="Courier New"/>
      <w:szCs w:val="21"/>
    </w:rPr>
  </w:style>
  <w:style w:type="character" w:styleId="931" w:customStyle="1">
    <w:name w:val="纯文本 Char"/>
    <w:uiPriority w:val="99"/>
    <w:semiHidden/>
    <w:qFormat/>
    <w:rPr>
      <w:rFonts w:ascii="宋体" w:hAnsi="Courier New" w:eastAsia="宋体" w:cs="Courier New"/>
      <w:szCs w:val="21"/>
    </w:rPr>
  </w:style>
  <w:style w:type="paragraph" w:styleId="932" w:customStyle="1">
    <w:name w:val="Andy_正文格式"/>
    <w:basedOn w:val="692"/>
    <w:uiPriority w:val="0"/>
    <w:qFormat/>
    <w:pPr>
      <w:ind w:firstLine="560"/>
      <w:jc w:val="left"/>
    </w:pPr>
    <w:rPr>
      <w:rFonts w:ascii="仿宋_GB2312" w:hAnsi="Times New Roman" w:eastAsia="仿宋_GB2312"/>
      <w:sz w:val="28"/>
      <w:szCs w:val="28"/>
    </w:rPr>
  </w:style>
  <w:style w:type="character" w:styleId="933" w:customStyle="1">
    <w:name w:val="p141"/>
    <w:uiPriority w:val="0"/>
    <w:qFormat/>
    <w:rPr>
      <w:rFonts w:ascii="Calibri" w:hAnsi="Calibri" w:eastAsia="宋体" w:cs="宋体"/>
      <w:sz w:val="21"/>
      <w:szCs w:val="21"/>
      <w:lang w:val="en-US" w:eastAsia="zh-CN" w:bidi="ar-SA"/>
    </w:rPr>
  </w:style>
  <w:style w:type="paragraph" w:styleId="934" w:customStyle="1">
    <w:name w:val="样式 宋体 五号 两端对齐 行距: 单倍行距"/>
    <w:basedOn w:val="692"/>
    <w:uiPriority w:val="0"/>
    <w:qFormat/>
    <w:pPr>
      <w:numPr>
        <w:ilvl w:val="0"/>
        <w:numId w:val="2"/>
      </w:numPr>
      <w:ind w:left="0" w:firstLine="0"/>
    </w:pPr>
    <w:rPr>
      <w:rFonts w:ascii="宋体" w:hAnsi="宋体" w:cs="宋体"/>
      <w:szCs w:val="20"/>
    </w:rPr>
  </w:style>
  <w:style w:type="paragraph" w:styleId="935" w:customStyle="1">
    <w:name w:val="样式1"/>
    <w:basedOn w:val="692"/>
    <w:uiPriority w:val="0"/>
    <w:qFormat/>
    <w:pPr>
      <w:numPr>
        <w:ilvl w:val="1"/>
        <w:numId w:val="3"/>
      </w:numPr>
    </w:pPr>
    <w:rPr>
      <w:rFonts w:ascii="宋体" w:hAnsi="宋体"/>
      <w:szCs w:val="21"/>
    </w:rPr>
  </w:style>
  <w:style w:type="paragraph" w:styleId="936" w:customStyle="1">
    <w:name w:val="Char"/>
    <w:basedOn w:val="692"/>
    <w:uiPriority w:val="0"/>
    <w:qFormat/>
    <w:pPr>
      <w:ind w:firstLine="200"/>
      <w:tabs>
        <w:tab w:val="left" w:pos="360" w:leader="none"/>
      </w:tabs>
    </w:pPr>
    <w:rPr>
      <w:rFonts w:ascii="Times New Roman" w:hAnsi="Times New Roman"/>
      <w:sz w:val="28"/>
      <w:szCs w:val="30"/>
    </w:rPr>
  </w:style>
  <w:style w:type="paragraph" w:styleId="937" w:customStyle="1">
    <w:name w:val="列出段落3"/>
    <w:basedOn w:val="692"/>
    <w:uiPriority w:val="99"/>
    <w:qFormat/>
    <w:pPr>
      <w:ind w:firstLine="420"/>
    </w:pPr>
  </w:style>
  <w:style w:type="paragraph" w:styleId="938" w:customStyle="1">
    <w:name w:val="列出段落1"/>
    <w:basedOn w:val="692"/>
    <w:uiPriority w:val="0"/>
    <w:qFormat/>
    <w:pPr>
      <w:ind w:firstLine="420"/>
    </w:pPr>
    <w:rPr>
      <w:rFonts w:ascii="Times New Roman" w:hAnsi="Times New Roman"/>
      <w:szCs w:val="24"/>
    </w:rPr>
  </w:style>
  <w:style w:type="paragraph" w:styleId="93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940" w:customStyle="1">
    <w:name w:val="标题 7 Char"/>
    <w:link w:val="780"/>
    <w:uiPriority w:val="9"/>
    <w:semiHidden/>
    <w:qFormat/>
    <w:rPr>
      <w:b/>
      <w:bCs/>
      <w:sz w:val="24"/>
      <w:szCs w:val="24"/>
    </w:rPr>
  </w:style>
  <w:style w:type="character" w:styleId="941" w:customStyle="1">
    <w:name w:val="标题 1 Char"/>
    <w:link w:val="774"/>
    <w:uiPriority w:val="9"/>
    <w:qFormat/>
    <w:rPr>
      <w:b/>
      <w:bCs/>
      <w:sz w:val="44"/>
      <w:szCs w:val="44"/>
    </w:rPr>
  </w:style>
  <w:style w:type="paragraph" w:styleId="942" w:customStyle="1">
    <w:name w:val="TOC 标题11"/>
    <w:basedOn w:val="774"/>
    <w:next w:val="692"/>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43" w:customStyle="1">
    <w:name w:val="纯文本_0"/>
    <w:basedOn w:val="944"/>
    <w:link w:val="946"/>
    <w:uiPriority w:val="0"/>
    <w:qFormat/>
    <w:pPr>
      <w:spacing w:line="460" w:lineRule="exact"/>
    </w:pPr>
    <w:rPr>
      <w:rFonts w:hint="eastAsia" w:ascii="宋体" w:hAnsi="Courier New"/>
      <w:szCs w:val="21"/>
    </w:rPr>
  </w:style>
  <w:style w:type="paragraph" w:styleId="944" w:customStyle="1">
    <w:name w:val="正文_0"/>
    <w:basedOn w:val="945"/>
    <w:uiPriority w:val="0"/>
    <w:qFormat/>
    <w:rPr>
      <w:rFonts w:ascii="Calibri" w:hAnsi="Calibri" w:eastAsia="宋体" w:cs="Times New Roman"/>
    </w:rPr>
  </w:style>
  <w:style w:type="paragraph" w:styleId="945" w:customStyle="1">
    <w:name w:val="正文_1"/>
    <w:uiPriority w:val="0"/>
    <w:qFormat/>
    <w:pPr>
      <w:jc w:val="both"/>
      <w:widowControl w:val="off"/>
    </w:pPr>
    <w:rPr>
      <w:rFonts w:ascii="等线" w:hAnsi="等线" w:eastAsia="等线" w:cs="等线"/>
      <w:sz w:val="21"/>
      <w:szCs w:val="22"/>
      <w:lang w:val="en-US" w:eastAsia="zh-CN" w:bidi="ar-SA"/>
    </w:rPr>
  </w:style>
  <w:style w:type="character" w:styleId="946" w:customStyle="1">
    <w:name w:val="纯文本 Char_0"/>
    <w:link w:val="943"/>
    <w:uiPriority w:val="0"/>
    <w:qFormat/>
    <w:rPr>
      <w:rFonts w:hint="eastAsia" w:ascii="宋体" w:hAnsi="Courier New" w:eastAsia="宋体" w:cs="Times New Roman"/>
      <w:szCs w:val="21"/>
    </w:rPr>
  </w:style>
  <w:style w:type="paragraph" w:styleId="947" w:customStyle="1">
    <w:name w:val="正文缩进_0"/>
    <w:basedOn w:val="945"/>
    <w:link w:val="948"/>
    <w:uiPriority w:val="99"/>
    <w:unhideWhenUsed/>
    <w:qFormat/>
    <w:pPr>
      <w:ind w:firstLine="420"/>
    </w:pPr>
    <w:rPr>
      <w:rFonts w:ascii="Times New Roman" w:hAnsi="Times New Roman" w:eastAsia="宋体" w:cs="Times New Roman"/>
      <w:szCs w:val="24"/>
    </w:rPr>
  </w:style>
  <w:style w:type="character" w:styleId="948" w:customStyle="1">
    <w:name w:val="正文缩进 字符"/>
    <w:link w:val="947"/>
    <w:uiPriority w:val="0"/>
    <w:qFormat/>
    <w:rPr>
      <w:rFonts w:ascii="Times New Roman" w:hAnsi="Times New Roman" w:eastAsia="宋体" w:cs="Times New Roman"/>
      <w:szCs w:val="24"/>
    </w:rPr>
  </w:style>
  <w:style w:type="paragraph" w:styleId="949" w:customStyle="1">
    <w:name w:val="正文文本缩进_0"/>
    <w:basedOn w:val="944"/>
    <w:link w:val="950"/>
    <w:uiPriority w:val="0"/>
    <w:qFormat/>
    <w:pPr>
      <w:ind w:left="420"/>
      <w:spacing w:after="120" w:line="460" w:lineRule="exact"/>
    </w:pPr>
    <w:rPr>
      <w:szCs w:val="21"/>
    </w:rPr>
  </w:style>
  <w:style w:type="character" w:styleId="950" w:customStyle="1">
    <w:name w:val="正文文本缩进 Char_0"/>
    <w:link w:val="949"/>
    <w:uiPriority w:val="0"/>
    <w:qFormat/>
    <w:rPr>
      <w:rFonts w:ascii="Calibri" w:hAnsi="Calibri" w:eastAsia="宋体" w:cs="Times New Roman"/>
      <w:szCs w:val="21"/>
    </w:rPr>
  </w:style>
  <w:style w:type="paragraph" w:styleId="951" w:customStyle="1">
    <w:name w:val="正文文本_0"/>
    <w:basedOn w:val="944"/>
    <w:link w:val="952"/>
    <w:uiPriority w:val="0"/>
    <w:qFormat/>
    <w:pPr>
      <w:spacing w:line="460" w:lineRule="exact"/>
    </w:pPr>
    <w:rPr>
      <w:rFonts w:hint="eastAsia" w:ascii="楷体_GB2312" w:hAnsi="Arial" w:eastAsia="楷体_GB2312"/>
      <w:sz w:val="28"/>
      <w:szCs w:val="28"/>
    </w:rPr>
  </w:style>
  <w:style w:type="character" w:styleId="952" w:customStyle="1">
    <w:name w:val="正文文本 Char_0"/>
    <w:link w:val="951"/>
    <w:uiPriority w:val="0"/>
    <w:qFormat/>
    <w:rPr>
      <w:rFonts w:hint="eastAsia" w:ascii="楷体_GB2312" w:hAnsi="Arial" w:eastAsia="楷体_GB2312" w:cs="Times New Roman"/>
      <w:sz w:val="28"/>
      <w:szCs w:val="28"/>
    </w:rPr>
  </w:style>
  <w:style w:type="character" w:styleId="953" w:customStyle="1">
    <w:name w:val="titlebody"/>
    <w:uiPriority w:val="0"/>
    <w:qFormat/>
    <w:rPr>
      <w:rFonts w:ascii="宋体" w:hAnsi="宋体" w:eastAsia="宋体" w:cs="宋体"/>
      <w:b/>
      <w:bCs/>
      <w:color w:val="000000"/>
      <w:sz w:val="24"/>
      <w:szCs w:val="24"/>
    </w:rPr>
  </w:style>
  <w:style w:type="paragraph" w:styleId="954" w:customStyle="1">
    <w:name w:val="Normal_0"/>
    <w:uiPriority w:val="0"/>
    <w:qFormat/>
    <w:rPr>
      <w:rFonts w:ascii="Times New Roman" w:hAnsi="Times New Roman" w:eastAsia="Times New Roman" w:cs="Times New Roman"/>
      <w:sz w:val="24"/>
      <w:szCs w:val="24"/>
      <w:lang w:val="en-US" w:eastAsia="zh-CN" w:bidi="ar-SA"/>
    </w:rPr>
  </w:style>
  <w:style w:type="paragraph" w:styleId="955" w:customStyle="1">
    <w:name w:val="Normal_1"/>
    <w:uiPriority w:val="0"/>
    <w:qFormat/>
    <w:rPr>
      <w:rFonts w:ascii="Times New Roman" w:hAnsi="Times New Roman" w:eastAsia="Times New Roman" w:cs="Times New Roman"/>
      <w:sz w:val="24"/>
      <w:szCs w:val="24"/>
      <w:lang w:val="en-US" w:eastAsia="zh-CN" w:bidi="ar-SA"/>
    </w:rPr>
  </w:style>
  <w:style w:type="paragraph" w:styleId="956" w:customStyle="1">
    <w:name w:val="Normal_2"/>
    <w:uiPriority w:val="0"/>
    <w:qFormat/>
    <w:rPr>
      <w:rFonts w:ascii="Times New Roman" w:hAnsi="Times New Roman" w:eastAsia="Times New Roman" w:cs="Times New Roman"/>
      <w:sz w:val="24"/>
      <w:szCs w:val="24"/>
      <w:lang w:val="en-US" w:eastAsia="zh-CN" w:bidi="ar-SA"/>
    </w:rPr>
  </w:style>
  <w:style w:type="paragraph" w:styleId="957" w:customStyle="1">
    <w:name w:val="Normal_3"/>
    <w:uiPriority w:val="0"/>
    <w:qFormat/>
    <w:rPr>
      <w:rFonts w:ascii="Times New Roman" w:hAnsi="Times New Roman" w:eastAsia="Times New Roman" w:cs="Times New Roman"/>
      <w:sz w:val="24"/>
      <w:szCs w:val="24"/>
      <w:lang w:val="en-US" w:eastAsia="zh-CN" w:bidi="ar-SA"/>
    </w:rPr>
  </w:style>
  <w:style w:type="paragraph" w:styleId="958" w:customStyle="1">
    <w:name w:val="Normal_4"/>
    <w:uiPriority w:val="0"/>
    <w:qFormat/>
    <w:rPr>
      <w:rFonts w:ascii="Times New Roman" w:hAnsi="Times New Roman" w:eastAsia="Times New Roman" w:cs="Times New Roman"/>
      <w:sz w:val="24"/>
      <w:szCs w:val="24"/>
      <w:lang w:val="en-US" w:eastAsia="zh-CN" w:bidi="ar-SA"/>
    </w:rPr>
  </w:style>
  <w:style w:type="paragraph" w:styleId="959" w:customStyle="1">
    <w:name w:val="Normal_5"/>
    <w:uiPriority w:val="0"/>
    <w:qFormat/>
    <w:rPr>
      <w:rFonts w:ascii="Times New Roman" w:hAnsi="Times New Roman" w:eastAsia="Times New Roman" w:cs="Times New Roman"/>
      <w:sz w:val="24"/>
      <w:szCs w:val="24"/>
      <w:lang w:val="en-US" w:eastAsia="zh-CN" w:bidi="ar-SA"/>
    </w:rPr>
  </w:style>
  <w:style w:type="paragraph" w:styleId="960" w:customStyle="1">
    <w:name w:val="Normal_6"/>
    <w:uiPriority w:val="0"/>
    <w:qFormat/>
    <w:rPr>
      <w:rFonts w:ascii="Times New Roman" w:hAnsi="Times New Roman" w:eastAsia="Times New Roman" w:cs="Times New Roman"/>
      <w:sz w:val="24"/>
      <w:szCs w:val="24"/>
      <w:lang w:val="en-US" w:eastAsia="zh-CN" w:bidi="ar-SA"/>
    </w:rPr>
  </w:style>
  <w:style w:type="paragraph" w:styleId="961" w:customStyle="1">
    <w:name w:val="Normal_0_0"/>
    <w:uiPriority w:val="0"/>
    <w:qFormat/>
    <w:rPr>
      <w:rFonts w:ascii="Times New Roman" w:hAnsi="Times New Roman" w:eastAsia="Times New Roman" w:cs="Times New Roman"/>
      <w:sz w:val="24"/>
      <w:szCs w:val="24"/>
      <w:lang w:val="en-US" w:eastAsia="zh-CN" w:bidi="ar-SA"/>
    </w:rPr>
  </w:style>
  <w:style w:type="paragraph" w:styleId="962" w:customStyle="1">
    <w:name w:val="Normal_1_0"/>
    <w:uiPriority w:val="0"/>
    <w:qFormat/>
    <w:rPr>
      <w:rFonts w:ascii="Times New Roman" w:hAnsi="Times New Roman" w:eastAsia="Times New Roman" w:cs="Times New Roman"/>
      <w:sz w:val="24"/>
      <w:szCs w:val="24"/>
      <w:lang w:val="en-US" w:eastAsia="zh-CN" w:bidi="ar-SA"/>
    </w:rPr>
  </w:style>
  <w:style w:type="paragraph" w:styleId="963" w:customStyle="1">
    <w:name w:val="Normal_2_0"/>
    <w:uiPriority w:val="0"/>
    <w:qFormat/>
    <w:rPr>
      <w:rFonts w:ascii="Times New Roman" w:hAnsi="Times New Roman" w:eastAsia="Times New Roman" w:cs="Times New Roman"/>
      <w:sz w:val="24"/>
      <w:szCs w:val="24"/>
      <w:lang w:val="en-US" w:eastAsia="zh-CN" w:bidi="ar-SA"/>
    </w:rPr>
  </w:style>
  <w:style w:type="paragraph" w:styleId="964" w:customStyle="1">
    <w:name w:val="Normal_3_0"/>
    <w:uiPriority w:val="0"/>
    <w:qFormat/>
    <w:rPr>
      <w:rFonts w:ascii="Times New Roman" w:hAnsi="Times New Roman" w:eastAsia="Times New Roman" w:cs="Times New Roman"/>
      <w:sz w:val="24"/>
      <w:szCs w:val="24"/>
      <w:lang w:val="en-US" w:eastAsia="zh-CN" w:bidi="ar-SA"/>
    </w:rPr>
  </w:style>
  <w:style w:type="paragraph" w:styleId="965" w:customStyle="1">
    <w:name w:val="Normal_4_0"/>
    <w:uiPriority w:val="0"/>
    <w:qFormat/>
    <w:rPr>
      <w:rFonts w:ascii="Times New Roman" w:hAnsi="Times New Roman" w:eastAsia="Times New Roman" w:cs="Times New Roman"/>
      <w:sz w:val="24"/>
      <w:szCs w:val="24"/>
      <w:lang w:val="en-US" w:eastAsia="zh-CN" w:bidi="ar-SA"/>
    </w:rPr>
  </w:style>
  <w:style w:type="paragraph" w:styleId="966" w:customStyle="1">
    <w:name w:val="正文_1_0"/>
    <w:basedOn w:val="967"/>
    <w:uiPriority w:val="0"/>
    <w:qFormat/>
    <w:rPr>
      <w:rFonts w:cs="Times New Roman"/>
    </w:rPr>
  </w:style>
  <w:style w:type="paragraph" w:styleId="967" w:customStyle="1">
    <w:name w:val="正文_2"/>
    <w:uiPriority w:val="0"/>
    <w:qFormat/>
    <w:pPr>
      <w:jc w:val="both"/>
      <w:widowControl w:val="off"/>
    </w:pPr>
    <w:rPr>
      <w:rFonts w:ascii="Calibri" w:hAnsi="Calibri" w:eastAsia="宋体" w:cs="Calibri"/>
      <w:sz w:val="21"/>
      <w:szCs w:val="22"/>
      <w:lang w:val="en-US" w:eastAsia="zh-CN" w:bidi="ar-SA"/>
    </w:rPr>
  </w:style>
  <w:style w:type="paragraph" w:styleId="968" w:customStyle="1">
    <w:name w:val="正文_1_0_0"/>
    <w:basedOn w:val="967"/>
    <w:uiPriority w:val="0"/>
    <w:qFormat/>
    <w:rPr>
      <w:rFonts w:cs="Times New Roman"/>
    </w:rPr>
  </w:style>
  <w:style w:type="paragraph" w:styleId="969" w:customStyle="1">
    <w:name w:val="Normal_5_0"/>
    <w:uiPriority w:val="0"/>
    <w:qFormat/>
    <w:rPr>
      <w:rFonts w:ascii="Times New Roman" w:hAnsi="Times New Roman" w:eastAsia="Times New Roman" w:cs="Times New Roman"/>
      <w:sz w:val="24"/>
      <w:szCs w:val="24"/>
      <w:lang w:val="en-US" w:eastAsia="zh-CN" w:bidi="ar-SA"/>
    </w:rPr>
  </w:style>
  <w:style w:type="paragraph" w:styleId="970" w:customStyle="1">
    <w:name w:val="正文_0_0"/>
    <w:basedOn w:val="971"/>
    <w:uiPriority w:val="0"/>
    <w:qFormat/>
    <w:rPr>
      <w:rFonts w:cs="Times New Roman"/>
    </w:rPr>
  </w:style>
  <w:style w:type="paragraph" w:styleId="971" w:customStyle="1">
    <w:name w:val="正文_0_1"/>
    <w:uiPriority w:val="0"/>
    <w:qFormat/>
    <w:pPr>
      <w:jc w:val="both"/>
      <w:widowControl w:val="off"/>
    </w:pPr>
    <w:rPr>
      <w:rFonts w:ascii="Calibri" w:hAnsi="Calibri" w:eastAsia="宋体" w:cs="Calibri"/>
      <w:sz w:val="21"/>
      <w:szCs w:val="22"/>
      <w:lang w:val="en-US" w:eastAsia="zh-CN" w:bidi="ar-SA"/>
    </w:rPr>
  </w:style>
  <w:style w:type="paragraph" w:styleId="972" w:customStyle="1">
    <w:name w:val="Normal_6_0"/>
    <w:uiPriority w:val="0"/>
    <w:qFormat/>
    <w:rPr>
      <w:rFonts w:ascii="Times New Roman" w:hAnsi="Times New Roman" w:eastAsia="Times New Roman" w:cs="Times New Roman"/>
      <w:sz w:val="24"/>
      <w:szCs w:val="24"/>
      <w:lang w:val="en-US" w:eastAsia="zh-CN" w:bidi="ar-SA"/>
    </w:rPr>
  </w:style>
  <w:style w:type="paragraph" w:styleId="973" w:customStyle="1">
    <w:name w:val="正文_0_0_0"/>
    <w:basedOn w:val="974"/>
    <w:uiPriority w:val="0"/>
    <w:qFormat/>
    <w:rPr>
      <w:rFonts w:cs="Times New Roman"/>
    </w:rPr>
  </w:style>
  <w:style w:type="paragraph" w:styleId="974" w:customStyle="1">
    <w:name w:val="正文_2_0"/>
    <w:uiPriority w:val="0"/>
    <w:qFormat/>
    <w:pPr>
      <w:jc w:val="both"/>
      <w:widowControl w:val="off"/>
    </w:pPr>
    <w:rPr>
      <w:rFonts w:ascii="Calibri" w:hAnsi="Calibri" w:eastAsia="宋体" w:cs="Calibri"/>
      <w:sz w:val="21"/>
      <w:szCs w:val="22"/>
      <w:lang w:val="en-US" w:eastAsia="zh-CN" w:bidi="ar-SA"/>
    </w:rPr>
  </w:style>
  <w:style w:type="paragraph" w:styleId="975" w:customStyle="1">
    <w:name w:val="Normal_7"/>
    <w:uiPriority w:val="0"/>
    <w:qFormat/>
    <w:rPr>
      <w:rFonts w:ascii="Times New Roman" w:hAnsi="Times New Roman" w:eastAsia="Times New Roman" w:cs="Times New Roman"/>
      <w:sz w:val="24"/>
      <w:szCs w:val="24"/>
      <w:lang w:val="en-US" w:eastAsia="zh-CN" w:bidi="ar-SA"/>
    </w:rPr>
  </w:style>
  <w:style w:type="paragraph" w:styleId="976" w:customStyle="1">
    <w:name w:val="正文_0_0_1"/>
    <w:basedOn w:val="977"/>
    <w:uiPriority w:val="0"/>
    <w:qFormat/>
    <w:rPr>
      <w:rFonts w:cs="Times New Roman"/>
    </w:rPr>
  </w:style>
  <w:style w:type="paragraph" w:styleId="977" w:customStyle="1">
    <w:name w:val="正文_3"/>
    <w:uiPriority w:val="0"/>
    <w:qFormat/>
    <w:pPr>
      <w:jc w:val="both"/>
      <w:widowControl w:val="off"/>
    </w:pPr>
    <w:rPr>
      <w:rFonts w:ascii="Calibri" w:hAnsi="Calibri" w:eastAsia="宋体" w:cs="Calibri"/>
      <w:sz w:val="21"/>
      <w:szCs w:val="22"/>
      <w:lang w:val="en-US" w:eastAsia="zh-CN" w:bidi="ar-SA"/>
    </w:rPr>
  </w:style>
  <w:style w:type="paragraph" w:styleId="978" w:customStyle="1">
    <w:name w:val="Normal_8"/>
    <w:uiPriority w:val="0"/>
    <w:qFormat/>
    <w:rPr>
      <w:rFonts w:ascii="Times New Roman" w:hAnsi="Times New Roman" w:eastAsia="Times New Roman" w:cs="Times New Roman"/>
      <w:sz w:val="24"/>
      <w:szCs w:val="24"/>
      <w:lang w:val="en-US" w:eastAsia="zh-CN" w:bidi="ar-SA"/>
    </w:rPr>
  </w:style>
  <w:style w:type="paragraph" w:styleId="97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80" w:customStyle="1">
    <w:name w:val="Normal_9"/>
    <w:uiPriority w:val="0"/>
    <w:qFormat/>
    <w:rPr>
      <w:rFonts w:ascii="Times New Roman" w:hAnsi="Times New Roman" w:eastAsia="Times New Roman" w:cs="Times New Roman"/>
      <w:sz w:val="24"/>
      <w:szCs w:val="24"/>
      <w:lang w:val="en-US" w:eastAsia="zh-CN" w:bidi="ar-SA"/>
    </w:rPr>
  </w:style>
  <w:style w:type="paragraph" w:styleId="981"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Normal_10"/>
    <w:uiPriority w:val="0"/>
    <w:qFormat/>
    <w:rPr>
      <w:rFonts w:ascii="Times New Roman" w:hAnsi="Times New Roman" w:eastAsia="Times New Roman" w:cs="Times New Roman"/>
      <w:sz w:val="24"/>
      <w:szCs w:val="24"/>
      <w:lang w:val="en-US" w:eastAsia="zh-CN" w:bidi="ar-SA"/>
    </w:rPr>
  </w:style>
  <w:style w:type="character" w:styleId="983" w:customStyle="1">
    <w:name w:val="批注文字 字符"/>
    <w:link w:val="708"/>
    <w:uiPriority w:val="99"/>
    <w:qFormat/>
    <w:rPr>
      <w:rFonts w:ascii="Times New Roman" w:hAnsi="Times New Roman"/>
      <w:sz w:val="24"/>
      <w:szCs w:val="24"/>
    </w:rPr>
  </w:style>
  <w:style w:type="paragraph" w:styleId="984" w:customStyle="1">
    <w:name w:val="Normal_12"/>
    <w:uiPriority w:val="0"/>
    <w:qFormat/>
    <w:rPr>
      <w:rFonts w:ascii="Times New Roman" w:hAnsi="Times New Roman" w:eastAsia="Times New Roman" w:cs="Times New Roman"/>
      <w:sz w:val="24"/>
      <w:szCs w:val="24"/>
      <w:lang w:val="en-US" w:eastAsia="zh-CN" w:bidi="ar-SA"/>
    </w:rPr>
  </w:style>
  <w:style w:type="paragraph" w:styleId="985" w:customStyle="1">
    <w:name w:val="Normal_13"/>
    <w:uiPriority w:val="0"/>
    <w:qFormat/>
    <w:rPr>
      <w:rFonts w:ascii="Times New Roman" w:hAnsi="Times New Roman" w:eastAsia="Times New Roman" w:cs="Times New Roman"/>
      <w:sz w:val="24"/>
      <w:szCs w:val="24"/>
      <w:lang w:val="en-US" w:eastAsia="zh-CN" w:bidi="ar-SA"/>
    </w:rPr>
  </w:style>
  <w:style w:type="paragraph" w:styleId="986" w:customStyle="1">
    <w:name w:val="Normal_14"/>
    <w:uiPriority w:val="0"/>
    <w:qFormat/>
    <w:rPr>
      <w:rFonts w:ascii="Times New Roman" w:hAnsi="Times New Roman" w:eastAsia="Times New Roman" w:cs="Times New Roman"/>
      <w:sz w:val="24"/>
      <w:szCs w:val="24"/>
      <w:lang w:val="en-US" w:eastAsia="zh-CN" w:bidi="ar-SA"/>
    </w:rPr>
  </w:style>
  <w:style w:type="paragraph" w:styleId="987" w:customStyle="1">
    <w:name w:val="Normal_16"/>
    <w:basedOn w:val="988"/>
    <w:uiPriority w:val="0"/>
    <w:qFormat/>
    <w:rPr>
      <w:lang w:bidi="en-US"/>
    </w:rPr>
  </w:style>
  <w:style w:type="paragraph" w:styleId="988" w:customStyle="1">
    <w:name w:val="Normal_15"/>
    <w:uiPriority w:val="0"/>
    <w:qFormat/>
    <w:pPr>
      <w:jc w:val="both"/>
      <w:widowControl w:val="off"/>
    </w:pPr>
    <w:rPr>
      <w:rFonts w:ascii="Times New Roman" w:hAnsi="Times New Roman" w:eastAsia="宋体" w:cs="Times New Roman"/>
      <w:sz w:val="21"/>
      <w:szCs w:val="24"/>
      <w:lang w:val="en-US" w:eastAsia="zh-CN" w:bidi="ar-SA"/>
    </w:rPr>
  </w:style>
  <w:style w:type="paragraph" w:styleId="989" w:customStyle="1">
    <w:name w:val="Normal_17"/>
    <w:uiPriority w:val="0"/>
    <w:qFormat/>
    <w:rPr>
      <w:rFonts w:ascii="Times New Roman" w:hAnsi="Times New Roman" w:eastAsia="Times New Roman" w:cs="Times New Roman"/>
      <w:sz w:val="24"/>
      <w:szCs w:val="24"/>
      <w:lang w:val="en-US" w:eastAsia="zh-CN" w:bidi="ar-SA"/>
    </w:rPr>
  </w:style>
  <w:style w:type="paragraph" w:styleId="990" w:customStyle="1">
    <w:name w:val="Normal_18"/>
    <w:uiPriority w:val="0"/>
    <w:qFormat/>
    <w:rPr>
      <w:rFonts w:ascii="Times New Roman" w:hAnsi="Times New Roman" w:eastAsia="Times New Roman" w:cs="Times New Roman"/>
      <w:sz w:val="24"/>
      <w:szCs w:val="24"/>
      <w:lang w:val="en-US" w:eastAsia="zh-CN" w:bidi="ar-SA"/>
    </w:rPr>
  </w:style>
  <w:style w:type="paragraph" w:styleId="991" w:customStyle="1">
    <w:name w:val="正文_6"/>
    <w:uiPriority w:val="0"/>
    <w:qFormat/>
    <w:pPr>
      <w:jc w:val="both"/>
      <w:widowControl w:val="off"/>
    </w:pPr>
    <w:rPr>
      <w:rFonts w:ascii="Calibri" w:hAnsi="Calibri" w:eastAsia="宋体" w:cs="Calibri"/>
      <w:sz w:val="21"/>
      <w:szCs w:val="22"/>
      <w:lang w:val="en-US" w:eastAsia="zh-CN" w:bidi="ar-SA"/>
    </w:rPr>
  </w:style>
  <w:style w:type="paragraph" w:styleId="992" w:customStyle="1">
    <w:name w:val="Normal_19"/>
    <w:uiPriority w:val="0"/>
    <w:qFormat/>
    <w:rPr>
      <w:rFonts w:ascii="Times New Roman" w:hAnsi="Times New Roman" w:eastAsia="Times New Roman" w:cs="Times New Roman"/>
      <w:sz w:val="24"/>
      <w:szCs w:val="24"/>
      <w:lang w:val="en-US" w:eastAsia="zh-CN" w:bidi="ar-SA"/>
    </w:rPr>
  </w:style>
  <w:style w:type="paragraph" w:styleId="993" w:customStyle="1">
    <w:name w:val="正文文本_1"/>
    <w:basedOn w:val="994"/>
    <w:link w:val="996"/>
    <w:uiPriority w:val="0"/>
    <w:qFormat/>
    <w:pPr>
      <w:spacing w:line="460" w:lineRule="exact"/>
    </w:pPr>
    <w:rPr>
      <w:rFonts w:hint="eastAsia" w:ascii="楷体_GB2312" w:hAnsi="Arial" w:eastAsia="楷体_GB2312"/>
      <w:sz w:val="28"/>
      <w:szCs w:val="28"/>
    </w:rPr>
  </w:style>
  <w:style w:type="paragraph" w:styleId="994" w:customStyle="1">
    <w:name w:val="正文_6_0"/>
    <w:basedOn w:val="995"/>
    <w:uiPriority w:val="0"/>
    <w:qFormat/>
    <w:rPr>
      <w:rFonts w:cs="Times New Roman"/>
    </w:rPr>
  </w:style>
  <w:style w:type="paragraph" w:styleId="995" w:customStyle="1">
    <w:name w:val="正文_7"/>
    <w:uiPriority w:val="0"/>
    <w:qFormat/>
    <w:pPr>
      <w:jc w:val="both"/>
      <w:widowControl w:val="off"/>
    </w:pPr>
    <w:rPr>
      <w:rFonts w:ascii="Calibri" w:hAnsi="Calibri" w:eastAsia="宋体" w:cs="Calibri"/>
      <w:sz w:val="21"/>
      <w:szCs w:val="22"/>
      <w:lang w:val="en-US" w:eastAsia="zh-CN" w:bidi="ar-SA"/>
    </w:rPr>
  </w:style>
  <w:style w:type="character" w:styleId="996" w:customStyle="1">
    <w:name w:val="正文文本 Char_1"/>
    <w:link w:val="993"/>
    <w:uiPriority w:val="0"/>
    <w:qFormat/>
    <w:rPr>
      <w:rFonts w:hint="eastAsia" w:ascii="楷体_GB2312" w:hAnsi="Arial" w:eastAsia="楷体_GB2312" w:cs="楷体_GB2312"/>
      <w:sz w:val="28"/>
      <w:szCs w:val="28"/>
    </w:rPr>
  </w:style>
  <w:style w:type="paragraph" w:styleId="997" w:customStyle="1">
    <w:name w:val="Normal_20"/>
    <w:uiPriority w:val="0"/>
    <w:qFormat/>
    <w:rPr>
      <w:rFonts w:ascii="Times New Roman" w:hAnsi="Times New Roman" w:eastAsia="Times New Roman" w:cs="Times New Roman"/>
      <w:sz w:val="24"/>
      <w:szCs w:val="24"/>
      <w:lang w:val="en-US" w:eastAsia="zh-CN" w:bidi="ar-SA"/>
    </w:rPr>
  </w:style>
  <w:style w:type="paragraph" w:styleId="998" w:customStyle="1">
    <w:name w:val="Normal_21"/>
    <w:uiPriority w:val="0"/>
    <w:qFormat/>
    <w:rPr>
      <w:rFonts w:ascii="Times New Roman" w:hAnsi="Times New Roman" w:eastAsia="Times New Roman" w:cs="Times New Roman"/>
      <w:sz w:val="24"/>
      <w:szCs w:val="24"/>
      <w:lang w:val="en-US" w:eastAsia="zh-CN" w:bidi="ar-SA"/>
    </w:rPr>
  </w:style>
  <w:style w:type="paragraph" w:styleId="999" w:customStyle="1">
    <w:name w:val="Normal_22"/>
    <w:uiPriority w:val="0"/>
    <w:qFormat/>
    <w:rPr>
      <w:rFonts w:ascii="Times New Roman" w:hAnsi="Times New Roman" w:eastAsia="Times New Roman" w:cs="Times New Roman"/>
      <w:sz w:val="24"/>
      <w:szCs w:val="24"/>
      <w:lang w:val="en-US" w:eastAsia="zh-CN" w:bidi="ar-SA"/>
    </w:rPr>
  </w:style>
  <w:style w:type="paragraph" w:styleId="100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001" w:customStyle="1">
    <w:name w:val="Normal_23"/>
    <w:uiPriority w:val="0"/>
    <w:qFormat/>
    <w:rPr>
      <w:rFonts w:ascii="Times New Roman" w:hAnsi="Times New Roman" w:eastAsia="Times New Roman" w:cs="Times New Roman"/>
      <w:sz w:val="24"/>
      <w:szCs w:val="24"/>
      <w:lang w:val="en-US" w:eastAsia="zh-CN" w:bidi="ar-SA"/>
    </w:rPr>
  </w:style>
  <w:style w:type="paragraph" w:styleId="1002" w:customStyle="1">
    <w:name w:val="Normal_24"/>
    <w:uiPriority w:val="0"/>
    <w:qFormat/>
    <w:rPr>
      <w:rFonts w:ascii="Times New Roman" w:hAnsi="Times New Roman" w:eastAsia="Times New Roman" w:cs="Times New Roman"/>
      <w:sz w:val="24"/>
      <w:szCs w:val="24"/>
      <w:lang w:val="en-US" w:eastAsia="zh-CN" w:bidi="ar-SA"/>
    </w:rPr>
  </w:style>
  <w:style w:type="paragraph" w:styleId="1003" w:customStyle="1">
    <w:name w:val="正文_12"/>
    <w:basedOn w:val="1004"/>
    <w:uiPriority w:val="0"/>
    <w:qFormat/>
    <w:rPr>
      <w:rFonts w:cs="Times New Roman"/>
    </w:rPr>
  </w:style>
  <w:style w:type="paragraph" w:styleId="1004" w:customStyle="1">
    <w:name w:val="正文_9"/>
    <w:uiPriority w:val="0"/>
    <w:qFormat/>
    <w:pPr>
      <w:jc w:val="both"/>
      <w:widowControl w:val="off"/>
    </w:pPr>
    <w:rPr>
      <w:rFonts w:ascii="Calibri" w:hAnsi="Calibri" w:eastAsia="宋体" w:cs="Calibri"/>
      <w:sz w:val="21"/>
      <w:szCs w:val="22"/>
      <w:lang w:val="en-US" w:eastAsia="zh-CN" w:bidi="ar-SA"/>
    </w:rPr>
  </w:style>
  <w:style w:type="character" w:styleId="1005" w:customStyle="1">
    <w:name w:val="超链接_0"/>
    <w:uiPriority w:val="99"/>
    <w:unhideWhenUsed/>
    <w:qFormat/>
    <w:rPr>
      <w:rFonts w:ascii="Calibri" w:hAnsi="Calibri" w:eastAsia="宋体" w:cs="Calibri"/>
      <w:color w:val="0000ff"/>
      <w:u w:val="single"/>
    </w:rPr>
  </w:style>
  <w:style w:type="paragraph" w:styleId="1006" w:customStyle="1">
    <w:name w:val="Normal_25"/>
    <w:uiPriority w:val="0"/>
    <w:qFormat/>
    <w:rPr>
      <w:rFonts w:ascii="Times New Roman" w:hAnsi="Times New Roman" w:eastAsia="Times New Roman" w:cs="Times New Roman"/>
      <w:sz w:val="24"/>
      <w:szCs w:val="24"/>
      <w:lang w:val="en-US" w:eastAsia="zh-CN" w:bidi="ar-SA"/>
    </w:rPr>
  </w:style>
  <w:style w:type="paragraph" w:styleId="1007"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table" w:styleId="1009" w:customStyle="1">
    <w:name w:val="网格型1"/>
    <w:basedOn w:val="703"/>
    <w:uiPriority w:val="39"/>
    <w:qFormat/>
    <w:rPr>
      <w:rFonts w:ascii="等线" w:hAnsi="等线" w:eastAsia="等线"/>
      <w:sz w:val="21"/>
      <w:szCs w:val="22"/>
    </w:rPr>
    <w:tblPr/>
  </w:style>
  <w:style w:type="table" w:styleId="1010" w:customStyle="1">
    <w:name w:val="网格型2"/>
    <w:basedOn w:val="703"/>
    <w:uiPriority w:val="39"/>
    <w:qFormat/>
    <w:rPr>
      <w:rFonts w:ascii="等线" w:hAnsi="等线" w:eastAsia="等线"/>
      <w:sz w:val="21"/>
      <w:szCs w:val="22"/>
    </w:rPr>
    <w:tblPr/>
  </w:style>
  <w:style w:type="character" w:styleId="1011" w:customStyle="1">
    <w:name w:val="custom-tag-placeholder-class"/>
    <w:uiPriority w:val="0"/>
    <w:qFormat/>
  </w:style>
  <w:style w:type="character" w:styleId="1012" w:customStyle="1">
    <w:name w:val="页眉 字符"/>
    <w:basedOn w:val="702"/>
    <w:link w:val="722"/>
    <w:uiPriority w:val="99"/>
    <w:semiHidden/>
    <w:qFormat/>
    <w:rPr>
      <w:sz w:val="18"/>
      <w:szCs w:val="18"/>
    </w:rPr>
  </w:style>
  <w:style w:type="character" w:styleId="1013" w:customStyle="1">
    <w:name w:val="页脚 字符"/>
    <w:basedOn w:val="702"/>
    <w:link w:val="721"/>
    <w:uiPriority w:val="99"/>
    <w:semiHidden/>
    <w:qFormat/>
    <w:rPr>
      <w:sz w:val="18"/>
      <w:szCs w:val="18"/>
    </w:rPr>
  </w:style>
  <w:style w:type="character" w:styleId="1014" w:customStyle="1">
    <w:name w:val="标题 2 字符"/>
    <w:basedOn w:val="702"/>
    <w:link w:val="694"/>
    <w:uiPriority w:val="0"/>
    <w:qFormat/>
    <w:rPr>
      <w:rFonts w:asciiTheme="majorHAnsi" w:hAnsiTheme="majorHAnsi" w:eastAsiaTheme="majorEastAsia" w:cstheme="majorBidi"/>
      <w:b/>
      <w:bCs/>
      <w:sz w:val="32"/>
      <w:szCs w:val="32"/>
    </w:rPr>
  </w:style>
  <w:style w:type="paragraph" w:styleId="1015" w:customStyle="1">
    <w:name w:val="正文缩进1"/>
    <w:basedOn w:val="692"/>
    <w:uiPriority w:val="0"/>
    <w:qFormat/>
    <w:pPr>
      <w:ind w:firstLine="420"/>
    </w:pPr>
    <w:rPr>
      <w:rFonts w:ascii="Times New Roman" w:hAnsi="Times New Roman"/>
      <w:szCs w:val="20"/>
    </w:rPr>
  </w:style>
  <w:style w:type="paragraph" w:styleId="1016" w:customStyle="1">
    <w:name w:val="text-tag"/>
    <w:basedOn w:val="692"/>
    <w:uiPriority w:val="99"/>
    <w:semiHidden/>
    <w:qFormat/>
    <w:pPr>
      <w:jc w:val="left"/>
      <w:spacing w:before="100" w:beforeAutospacing="1" w:after="100" w:afterAutospacing="1"/>
      <w:widowControl/>
    </w:pPr>
    <w:rPr>
      <w:rFonts w:ascii="宋体" w:hAnsi="宋体" w:cs="宋体"/>
      <w:sz w:val="24"/>
      <w:szCs w:val="24"/>
    </w:rPr>
  </w:style>
  <w:style w:type="paragraph" w:styleId="1017" w:customStyle="1">
    <w:name w:val="索引 11"/>
    <w:basedOn w:val="692"/>
    <w:next w:val="692"/>
    <w:uiPriority w:val="99"/>
    <w:qFormat/>
    <w:pPr>
      <w:spacing w:line="360" w:lineRule="auto"/>
    </w:pPr>
    <w:rPr>
      <w:rFonts w:ascii="仿宋_GB2312" w:hAnsi="Times New Roman" w:eastAsia="仿宋_GB2312"/>
      <w:sz w:val="24"/>
      <w:szCs w:val="20"/>
    </w:rPr>
  </w:style>
  <w:style w:type="paragraph" w:styleId="1018" w:customStyle="1">
    <w:name w:val="X正文"/>
    <w:uiPriority w:val="0"/>
    <w:qFormat/>
    <w:pPr>
      <w:ind w:firstLine="200"/>
      <w:jc w:val="both"/>
      <w:spacing w:line="300" w:lineRule="auto"/>
    </w:pPr>
    <w:rPr>
      <w:rFonts w:ascii="宋体" w:hAnsi="宋体" w:eastAsia="宋体" w:cstheme="minorBidi"/>
      <w:sz w:val="28"/>
      <w:szCs w:val="21"/>
      <w:lang w:val="en-US" w:eastAsia="zh-CN" w:bidi="ar-SA"/>
    </w:rPr>
  </w:style>
  <w:style w:type="character" w:styleId="1019" w:customStyle="1">
    <w:name w:val="font11"/>
    <w:basedOn w:val="702"/>
    <w:uiPriority w:val="0"/>
    <w:qFormat/>
    <w:rPr>
      <w:rFonts w:hint="eastAsia" w:ascii="微软雅黑" w:hAnsi="微软雅黑" w:eastAsia="微软雅黑" w:cs="微软雅黑"/>
      <w:color w:val="000000"/>
      <w:sz w:val="16"/>
      <w:szCs w:val="16"/>
      <w:u w:val="none"/>
    </w:rPr>
  </w:style>
  <w:style w:type="character" w:styleId="1020" w:customStyle="1">
    <w:name w:val="font81"/>
    <w:basedOn w:val="702"/>
    <w:uiPriority w:val="0"/>
    <w:qFormat/>
    <w:rPr>
      <w:rFonts w:hint="eastAsia" w:ascii="宋体" w:hAnsi="宋体" w:eastAsia="宋体" w:cs="宋体"/>
      <w:b/>
      <w:bCs/>
      <w:color w:val="000000"/>
      <w:sz w:val="22"/>
      <w:szCs w:val="22"/>
      <w:u w:val="none"/>
    </w:rPr>
  </w:style>
  <w:style w:type="character" w:styleId="1021" w:customStyle="1">
    <w:name w:val="font61"/>
    <w:basedOn w:val="702"/>
    <w:uiPriority w:val="0"/>
    <w:qFormat/>
    <w:rPr>
      <w:rFonts w:hint="eastAsia" w:ascii="宋体" w:hAnsi="宋体" w:eastAsia="宋体" w:cs="宋体"/>
      <w:color w:val="000000"/>
      <w:sz w:val="20"/>
      <w:szCs w:val="20"/>
      <w:u w:val="none"/>
    </w:rPr>
  </w:style>
  <w:style w:type="character" w:styleId="1022" w:customStyle="1">
    <w:name w:val="font101"/>
    <w:basedOn w:val="702"/>
    <w:uiPriority w:val="0"/>
    <w:qFormat/>
    <w:rPr>
      <w:rFonts w:hint="eastAsia" w:ascii="宋体" w:hAnsi="宋体" w:eastAsia="宋体" w:cs="宋体"/>
      <w:b/>
      <w:bCs/>
      <w:color w:val="000000"/>
      <w:sz w:val="20"/>
      <w:szCs w:val="20"/>
      <w:u w:val="none"/>
    </w:rPr>
  </w:style>
  <w:style w:type="character" w:styleId="1023" w:customStyle="1">
    <w:name w:val="font112"/>
    <w:basedOn w:val="702"/>
    <w:uiPriority w:val="0"/>
    <w:qFormat/>
    <w:rPr>
      <w:rFonts w:hint="eastAsia" w:ascii="宋体" w:hAnsi="宋体" w:eastAsia="宋体" w:cs="宋体"/>
      <w:color w:val="ff0000"/>
      <w:sz w:val="22"/>
      <w:szCs w:val="22"/>
      <w:u w:val="none"/>
    </w:rPr>
  </w:style>
  <w:style w:type="paragraph" w:styleId="1024" w:customStyle="1">
    <w:name w:val="无间隔1"/>
    <w:uiPriority w:val="0"/>
    <w:qFormat/>
    <w:pPr>
      <w:jc w:val="both"/>
      <w:widowControl w:val="off"/>
    </w:pPr>
    <w:rPr>
      <w:rFonts w:ascii="Calibri" w:hAnsi="Calibri" w:eastAsia="宋体" w:cs="Times New Roman"/>
      <w:sz w:val="28"/>
      <w:szCs w:val="22"/>
      <w:lang w:val="en-US" w:eastAsia="zh-CN" w:bidi="ar-SA"/>
    </w:rPr>
  </w:style>
  <w:style w:type="table" w:styleId="1025" w:customStyle="1">
    <w:name w:val="Table Normal"/>
    <w:uiPriority w:val="0"/>
    <w:semiHidden/>
    <w:unhideWhenUsed/>
    <w:qFormat/>
    <w:tblPr>
      <w:tblCellMar>
        <w:left w:w="0" w:type="dxa"/>
        <w:top w:w="0" w:type="dxa"/>
        <w:right w:w="0" w:type="dxa"/>
        <w:bottom w:w="0" w:type="dxa"/>
      </w:tblCellMar>
    </w:tblPr>
  </w:style>
  <w:style w:type="paragraph" w:styleId="1026" w:customStyle="1">
    <w:name w:val="正文1"/>
    <w:next w:val="1027"/>
    <w:uiPriority w:val="0"/>
    <w:qFormat/>
    <w:rPr>
      <w:rFonts w:ascii="Times New Roman" w:hAnsi="Times New Roman" w:eastAsia="宋体" w:cs="Times New Roman"/>
      <w:lang w:val="en-US" w:eastAsia="zh-CN" w:bidi="ar-SA"/>
    </w:rPr>
  </w:style>
  <w:style w:type="paragraph" w:styleId="1027" w:customStyle="1">
    <w:name w:val="正文文本1"/>
    <w:basedOn w:val="1028"/>
    <w:next w:val="1029"/>
    <w:uiPriority w:val="99"/>
    <w:qFormat/>
    <w:pPr>
      <w:jc w:val="both"/>
      <w:spacing w:line="500" w:lineRule="exact"/>
      <w:tabs>
        <w:tab w:val="left" w:pos="0" w:leader="none"/>
        <w:tab w:val="left" w:pos="993" w:leader="none"/>
        <w:tab w:val="left" w:pos="1134" w:leader="none"/>
      </w:tabs>
    </w:pPr>
    <w:rPr>
      <w:rFonts w:hAnsi="Calibri" w:eastAsia="Times New Roman"/>
      <w:sz w:val="28"/>
    </w:rPr>
  </w:style>
  <w:style w:type="paragraph" w:styleId="1028" w:customStyle="1">
    <w:name w:val="正文2"/>
    <w:basedOn w:val="692"/>
    <w:uiPriority w:val="0"/>
    <w:qFormat/>
    <w:pPr>
      <w:ind w:left="57" w:right="57"/>
      <w:jc w:val="center"/>
      <w:spacing w:after="60" w:line="360" w:lineRule="atLeast"/>
    </w:pPr>
    <w:rPr>
      <w:rFonts w:ascii="宋体" w:hAnsi="Times New Roman"/>
      <w:szCs w:val="20"/>
    </w:rPr>
  </w:style>
  <w:style w:type="paragraph" w:styleId="1029" w:customStyle="1">
    <w:name w:val="一级条标题"/>
    <w:basedOn w:val="1030"/>
    <w:next w:val="10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next w:val="69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1" w:customStyle="1">
    <w:name w:val="段"/>
    <w:next w:val="692"/>
    <w:uiPriority w:val="0"/>
    <w:qFormat/>
    <w:pPr>
      <w:ind w:firstLine="200"/>
      <w:jc w:val="both"/>
    </w:pPr>
    <w:rPr>
      <w:rFonts w:ascii="宋体" w:hAnsi="Times New Roman" w:eastAsia="Times New Roman" w:cs="Times New Roman"/>
      <w:sz w:val="21"/>
      <w:lang w:val="en-US" w:eastAsia="zh-CN" w:bidi="ar-SA"/>
    </w:rPr>
  </w:style>
  <w:style w:type="paragraph" w:styleId="1032" w:customStyle="1">
    <w:name w:val="纯文本11"/>
    <w:basedOn w:val="692"/>
    <w:uiPriority w:val="0"/>
    <w:qFormat/>
    <w:rPr>
      <w:rFonts w:ascii="宋体" w:hAnsi="Courier New"/>
      <w:sz w:val="20"/>
      <w:szCs w:val="20"/>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朱霞</cp:lastModifiedBy>
  <cp:revision>4</cp:revision>
  <dcterms:created xsi:type="dcterms:W3CDTF">2024-03-13T09:50:00Z</dcterms:created>
  <dcterms:modified xsi:type="dcterms:W3CDTF">2026-10-19T02:16:39Z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03460927D9D502EBA17F4268753C0C9C_43</vt:lpwstr>
  </property>
  <property fmtid="{D5CDD505-2E9C-101B-9397-08002B2CF9AE}" pid="4" name="KSOTemplateDocerSaveRecord">
    <vt:lpwstr>eyJoZGlkIjoiYmI0ZDBmNzZkMWNhOWQ0ZmRmNWYxOGNjNzJmODFkOWMiLCJ1c2VySWQiOiI0NDE2OTI4MTEifQ==</vt:lpwstr>
  </property>
</Properties>
</file>